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3" w:rsidRPr="005E1153" w:rsidRDefault="005E1153" w:rsidP="005E1153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E1153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E1153" w:rsidRPr="000C74B8" w:rsidRDefault="005E1153" w:rsidP="005E1153">
      <w:pPr>
        <w:autoSpaceDE w:val="0"/>
        <w:autoSpaceDN w:val="0"/>
        <w:adjustRightInd w:val="0"/>
        <w:jc w:val="center"/>
        <w:rPr>
          <w:rFonts w:ascii="黑体" w:eastAsia="黑体" w:hAnsi="黑体"/>
          <w:bCs/>
          <w:kern w:val="0"/>
          <w:sz w:val="36"/>
          <w:szCs w:val="44"/>
        </w:rPr>
      </w:pPr>
      <w:r w:rsidRPr="000C74B8">
        <w:rPr>
          <w:rFonts w:ascii="黑体" w:eastAsia="黑体" w:hAnsi="黑体" w:hint="eastAsia"/>
          <w:bCs/>
          <w:kern w:val="0"/>
          <w:sz w:val="36"/>
          <w:szCs w:val="44"/>
        </w:rPr>
        <w:t>违反实验室安全管理规定绩效扣除等级划分表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2"/>
        <w:gridCol w:w="5563"/>
        <w:gridCol w:w="1872"/>
      </w:tblGrid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  <w:t>序号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  <w:t>违规内容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b/>
                <w:color w:val="000000" w:themeColor="text1"/>
                <w:sz w:val="24"/>
                <w:szCs w:val="32"/>
              </w:rPr>
              <w:t>扣除基数等级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1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在实验室内吸烟、饮食；在实验室内（包括冰箱中）存放食品、饮料等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2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未取得准入资格进入实验室开展实验活动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3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在实验室内进行实验的人员未穿戴工作服或必要的防护用具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4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实验室内私拉电线，超负荷使用插座，串接插线板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5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实验人员离开实验室，未根据要求及时关闭水、电、门窗等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6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未经管理部门允许，实验室内使用电阻炉、太阳灶、电暖器、热得快、电砂锅等电器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7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未取得《特种设备作业人员证》的人员操作起重机械、压力容器等特种设备</w:t>
            </w:r>
            <w:bookmarkStart w:id="0" w:name="_GoBack"/>
            <w:bookmarkEnd w:id="0"/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8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在实验室中给电瓶车充电及相应违章用电行为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ind w:firstLineChars="100" w:firstLine="240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9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实验废液随意倾倒，危险废弃物随意丢弃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1</w:t>
            </w: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0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未按要求制定和张贴实验室安全规章制度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11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未落实逐级实验室安全责任制或未签订安全责任书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12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不服从或不配合政府部门、学校职能部门、学校实验室安全检查组及本单位日常安全管理和检查的；或接到口头或书面整改通知，拒不整改，或不按要求整改，或未按期完成整改的，或未及时告知、组织、督促整改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13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未配备必要的安全警示标识、安全防护设施及设备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14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未按规定储存、摆放实验室各类物品（包括危险化学品、高压气瓶、放射性同位素、射线装置、病原微生物、危险废弃物等），造成安全隐患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15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指使或强令他人违反实验室安全管理制度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16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未定期检修和维护实验室安全设施及相关仪器设备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17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未履行实验室安全教育培训职责或不接受实验室安全教育培训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18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未根据要求及时排查、消除实验室安全隐患，或未组织、督促、协助消除实验室安全隐患的；发现实验室安全隐患，隐瞒不报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19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给学校或他人财产造成损失（1000元以下）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第四级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20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违反操作规程及相关规定购买、运输、使用或处理</w:t>
            </w: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lastRenderedPageBreak/>
              <w:t>实验室中危险物品（包括剧毒化学品、易制毒/易制爆化学品、麻醉药品、精神药品、放射性同位素、致病性病原微生物）、特种设备及特殊设备（包括具有高速、高/低温、高压、强电、电加热、强光闪烁、振动、噪声等特点的实验设备）、实验室危险废弃物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lastRenderedPageBreak/>
              <w:t>第三级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lastRenderedPageBreak/>
              <w:t>21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未采取必要的措施导致危险物品（包括剧毒化学品、易制毒/易制爆化学品、麻醉药品、精神药品、放射性同位素、致病性病原微生物）被盗或遗失，或发生上述情况，责任单位未立即上报学校有关部门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22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给学校或他人财产造成损失（1000元至50000元）或有人员受轻伤以下后果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第三级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23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未经许可擅自启用被封实验室，或管理失误造成他人随便进出被封实验室，或得知他人私自启封被封实验室，未及时采取措施并及时报告相关部门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24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因玩忽职守、滥用职权等原因，致使在本人负责的实验室区域内发生安全事故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25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私自改变、改造实验室内布局或对安全设施、设备进行拆改从而造成重大安全隐患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26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暴力抗拒政府部门、学校职能部门、本单位日常安全管理和检查的，或对相关工作人员进行人身攻击或侮辱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第二级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27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给学校或他人财产造成损失（50000元以上），或有人员受重伤以上后果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第一级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28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发生造成人员伤亡或财产损失的实验室安全事故后，未立即组织救援、未采取处置措施、隐瞒不报，或未及时向学校相关部门报告，或不如实反映事故情况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第一级</w:t>
            </w:r>
          </w:p>
        </w:tc>
      </w:tr>
      <w:tr w:rsidR="005E1153" w:rsidTr="00C6052B">
        <w:tc>
          <w:tcPr>
            <w:tcW w:w="78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/>
                <w:color w:val="000000" w:themeColor="text1"/>
                <w:sz w:val="24"/>
                <w:szCs w:val="32"/>
              </w:rPr>
              <w:t>29</w:t>
            </w:r>
          </w:p>
        </w:tc>
        <w:tc>
          <w:tcPr>
            <w:tcW w:w="5563" w:type="dxa"/>
            <w:vAlign w:val="center"/>
          </w:tcPr>
          <w:p w:rsidR="005E1153" w:rsidRPr="00824B42" w:rsidRDefault="005E1153" w:rsidP="00C6052B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未经审批私自购买、使用或转让剧毒化学品、易制毒（爆）化学品、麻醉药品、精神药品、放射性同位素，擅自将危险化学品带离保管场所或使用国家禁止使用的危险化学品</w:t>
            </w:r>
          </w:p>
        </w:tc>
        <w:tc>
          <w:tcPr>
            <w:tcW w:w="1872" w:type="dxa"/>
            <w:vAlign w:val="center"/>
          </w:tcPr>
          <w:p w:rsidR="005E1153" w:rsidRPr="00824B42" w:rsidRDefault="005E1153" w:rsidP="00C6052B"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 w:themeColor="text1"/>
                <w:sz w:val="24"/>
                <w:szCs w:val="32"/>
              </w:rPr>
            </w:pPr>
            <w:r w:rsidRPr="00824B42">
              <w:rPr>
                <w:rFonts w:ascii="仿宋_GB2312" w:eastAsia="仿宋_GB2312" w:hint="eastAsia"/>
                <w:color w:val="000000" w:themeColor="text1"/>
                <w:sz w:val="24"/>
                <w:szCs w:val="32"/>
              </w:rPr>
              <w:t>第一级</w:t>
            </w:r>
          </w:p>
        </w:tc>
      </w:tr>
    </w:tbl>
    <w:p w:rsidR="005E1153" w:rsidRPr="00E5306C" w:rsidRDefault="005E1153" w:rsidP="005E1153"/>
    <w:p w:rsidR="00CD1C9B" w:rsidRDefault="00CD1C9B"/>
    <w:sectPr w:rsidR="00CD1C9B" w:rsidSect="00B13D00">
      <w:footerReference w:type="default" r:id="rId6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93" w:rsidRDefault="00A86593">
      <w:r>
        <w:separator/>
      </w:r>
    </w:p>
  </w:endnote>
  <w:endnote w:type="continuationSeparator" w:id="0">
    <w:p w:rsidR="00A86593" w:rsidRDefault="00A8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45632"/>
      <w:docPartObj>
        <w:docPartGallery w:val="Page Numbers (Bottom of Page)"/>
        <w:docPartUnique/>
      </w:docPartObj>
    </w:sdtPr>
    <w:sdtEndPr/>
    <w:sdtContent>
      <w:p w:rsidR="005337C5" w:rsidRDefault="005E11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4B8" w:rsidRPr="000C74B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337C5" w:rsidRDefault="00A865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93" w:rsidRDefault="00A86593">
      <w:r>
        <w:separator/>
      </w:r>
    </w:p>
  </w:footnote>
  <w:footnote w:type="continuationSeparator" w:id="0">
    <w:p w:rsidR="00A86593" w:rsidRDefault="00A8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153"/>
    <w:rsid w:val="000C74B8"/>
    <w:rsid w:val="00526D94"/>
    <w:rsid w:val="005E1153"/>
    <w:rsid w:val="00A86593"/>
    <w:rsid w:val="00CD1C9B"/>
    <w:rsid w:val="00F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7E2A3-13DC-4F14-9217-F6AC1DA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E1153"/>
    <w:rPr>
      <w:sz w:val="18"/>
      <w:szCs w:val="18"/>
    </w:rPr>
  </w:style>
  <w:style w:type="table" w:styleId="a5">
    <w:name w:val="Table Grid"/>
    <w:basedOn w:val="a1"/>
    <w:uiPriority w:val="59"/>
    <w:rsid w:val="005E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7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74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徐财松</dc:creator>
  <cp:lastModifiedBy>Lenovo</cp:lastModifiedBy>
  <cp:revision>2</cp:revision>
  <dcterms:created xsi:type="dcterms:W3CDTF">2020-06-16T00:57:00Z</dcterms:created>
  <dcterms:modified xsi:type="dcterms:W3CDTF">2025-04-08T02:20:00Z</dcterms:modified>
</cp:coreProperties>
</file>