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240" w:lineRule="auto"/>
        <w:ind w:firstLine="0" w:firstLineChars="0"/>
        <w:jc w:val="center"/>
        <w:rPr>
          <w:rFonts w:ascii="方正小标宋简体" w:hAnsi="仿宋" w:eastAsia="方正小标宋简体" w:cs="仿宋_GB2312"/>
          <w:kern w:val="0"/>
          <w:sz w:val="36"/>
          <w:szCs w:val="36"/>
        </w:rPr>
      </w:pPr>
      <w:bookmarkStart w:id="0" w:name="_Toc89680292"/>
      <w:bookmarkStart w:id="1" w:name="高校实验室安全隐患定量分级标准"/>
      <w:bookmarkStart w:id="2" w:name="_Toc90016591"/>
      <w:r>
        <w:rPr>
          <w:rFonts w:hint="eastAsia" w:ascii="方正小标宋简体" w:hAnsi="仿宋" w:eastAsia="方正小标宋简体" w:cs="仿宋_GB2312"/>
          <w:kern w:val="0"/>
          <w:sz w:val="36"/>
          <w:szCs w:val="36"/>
        </w:rPr>
        <w:t xml:space="preserve"> 合肥工业大学实验室安全</w:t>
      </w:r>
      <w:bookmarkEnd w:id="0"/>
      <w:bookmarkEnd w:id="1"/>
      <w:bookmarkEnd w:id="2"/>
      <w:r>
        <w:rPr>
          <w:rFonts w:hint="eastAsia" w:ascii="方正小标宋简体" w:hAnsi="仿宋" w:eastAsia="方正小标宋简体" w:cs="仿宋_GB2312"/>
          <w:kern w:val="0"/>
          <w:sz w:val="36"/>
          <w:szCs w:val="36"/>
        </w:rPr>
        <w:t>分级分类管理办法</w:t>
      </w:r>
    </w:p>
    <w:p>
      <w:pPr>
        <w:adjustRightInd w:val="0"/>
        <w:snapToGrid w:val="0"/>
        <w:spacing w:before="211" w:beforeLines="50" w:after="211" w:afterLines="50"/>
        <w:ind w:firstLine="0" w:firstLineChars="0"/>
        <w:jc w:val="center"/>
        <w:rPr>
          <w:rFonts w:ascii="黑体" w:hAnsi="黑体" w:eastAsia="黑体" w:cs="黑体"/>
          <w:sz w:val="32"/>
          <w:szCs w:val="32"/>
        </w:rPr>
      </w:pPr>
      <w:bookmarkStart w:id="3" w:name="_Hlk148173755"/>
      <w:r>
        <w:rPr>
          <w:rFonts w:hint="eastAsia" w:ascii="黑体" w:hAnsi="黑体" w:eastAsia="黑体" w:cs="黑体"/>
          <w:sz w:val="32"/>
          <w:szCs w:val="32"/>
        </w:rPr>
        <w:t>第一章 总  则</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第一条</w:t>
      </w:r>
      <w:r>
        <w:rPr>
          <w:rFonts w:hint="eastAsia" w:eastAsia="仿宋_GB2312" w:cs="Times New Roman"/>
          <w:sz w:val="32"/>
          <w:szCs w:val="32"/>
        </w:rPr>
        <w:t xml:space="preserve">  为加强我校实验室安全精细化管理，提高学校实验室安全风险防范的针对性和有效性，依据《高等学校实验室安全分级分类管理办法（试行）》（教科信〔2024〕4号），结合我校实际情况，制定本办法。</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第二条</w:t>
      </w:r>
      <w:r>
        <w:rPr>
          <w:rFonts w:hint="eastAsia" w:eastAsia="仿宋_GB2312" w:cs="Times New Roman"/>
          <w:sz w:val="32"/>
          <w:szCs w:val="32"/>
        </w:rPr>
        <w:t xml:space="preserve">  本办法中的实验室，是指我校从事教学、科研等实验、实训活动的场所及其所属设施，以房间为管理单元。</w:t>
      </w:r>
    </w:p>
    <w:p>
      <w:pPr>
        <w:adjustRightInd w:val="0"/>
        <w:snapToGrid w:val="0"/>
        <w:spacing w:before="211" w:beforeLines="50" w:after="211" w:afterLines="50"/>
        <w:ind w:firstLine="0" w:firstLineChars="0"/>
        <w:jc w:val="center"/>
        <w:rPr>
          <w:rFonts w:ascii="黑体" w:hAnsi="黑体" w:eastAsia="黑体" w:cs="黑体"/>
          <w:sz w:val="32"/>
          <w:szCs w:val="32"/>
        </w:rPr>
      </w:pPr>
      <w:r>
        <w:rPr>
          <w:rFonts w:hint="eastAsia" w:ascii="黑体" w:hAnsi="黑体" w:eastAsia="黑体" w:cs="黑体"/>
          <w:sz w:val="32"/>
          <w:szCs w:val="32"/>
        </w:rPr>
        <w:t>第二章 管理体系与职责</w:t>
      </w:r>
    </w:p>
    <w:p>
      <w:pPr>
        <w:numPr>
          <w:ilvl w:val="255"/>
          <w:numId w:val="0"/>
        </w:num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第三条</w:t>
      </w:r>
      <w:r>
        <w:rPr>
          <w:rFonts w:hint="eastAsia" w:eastAsia="仿宋_GB2312" w:cs="Times New Roman"/>
          <w:sz w:val="32"/>
          <w:szCs w:val="32"/>
        </w:rPr>
        <w:t xml:space="preserve">  学校实验室安全工作领导小组全面负责指导本校实验室开展安全分级分类管理工作。学校党政主要负责人是第一责任人，分管实验室工作的校领导是重要领导责任人，协助第一责任人负责实验室安全分级分类工作，其他校领导在分管工作范围内对实验室安全分级分类工作负有支持、监督和指导职责。</w:t>
      </w:r>
    </w:p>
    <w:p>
      <w:pPr>
        <w:numPr>
          <w:ilvl w:val="255"/>
          <w:numId w:val="0"/>
        </w:num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第四条</w:t>
      </w:r>
      <w:r>
        <w:rPr>
          <w:rFonts w:hint="eastAsia" w:eastAsia="仿宋_GB2312" w:cs="Times New Roman"/>
          <w:sz w:val="32"/>
          <w:szCs w:val="32"/>
        </w:rPr>
        <w:t xml:space="preserve">  实验室安全管理处负责制定学校实验室安全分级分类管理办法，统筹开展全校实验室分级分类认定工作，并建立全校实验室安全分级分类管理台账。</w:t>
      </w:r>
    </w:p>
    <w:p>
      <w:pPr>
        <w:numPr>
          <w:ilvl w:val="255"/>
          <w:numId w:val="0"/>
        </w:numPr>
        <w:adjustRightInd w:val="0"/>
        <w:snapToGrid w:val="0"/>
        <w:spacing w:line="520" w:lineRule="exact"/>
        <w:ind w:firstLine="640" w:firstLineChars="200"/>
        <w:rPr>
          <w:rFonts w:eastAsia="仿宋_GB2312" w:cs="Times New Roman"/>
          <w:sz w:val="32"/>
          <w:szCs w:val="32"/>
        </w:rPr>
      </w:pPr>
      <w:r>
        <w:rPr>
          <w:rFonts w:hint="eastAsia" w:ascii="楷体" w:hAnsi="楷体" w:eastAsia="楷体" w:cs="Times New Roman"/>
          <w:sz w:val="32"/>
          <w:szCs w:val="32"/>
        </w:rPr>
        <w:t xml:space="preserve">第五条 </w:t>
      </w:r>
      <w:r>
        <w:rPr>
          <w:rFonts w:hint="eastAsia" w:eastAsia="仿宋_GB2312" w:cs="Times New Roman"/>
          <w:sz w:val="32"/>
          <w:szCs w:val="32"/>
        </w:rPr>
        <w:t xml:space="preserve"> 学校教学科研单位（以下简称二级单位）作为实验室安全分级分类管理的责任单位，负责组织本单位实验室落实分级分类及安全管理要求，审核确认所属实验室类别和风险等级，建立本单位实验室安全分级分类管理台账，提交学校实验室安全主管职能部门备案。</w:t>
      </w:r>
    </w:p>
    <w:p>
      <w:pPr>
        <w:numPr>
          <w:ilvl w:val="255"/>
          <w:numId w:val="0"/>
        </w:numPr>
        <w:adjustRightInd w:val="0"/>
        <w:snapToGrid w:val="0"/>
        <w:spacing w:line="520" w:lineRule="exact"/>
        <w:ind w:firstLine="640" w:firstLineChars="200"/>
        <w:rPr>
          <w:rFonts w:eastAsia="仿宋_GB2312" w:cs="Times New Roman"/>
          <w:sz w:val="32"/>
          <w:szCs w:val="32"/>
        </w:rPr>
      </w:pPr>
      <w:r>
        <w:rPr>
          <w:rFonts w:hint="eastAsia" w:eastAsia="仿宋_GB2312" w:cs="Times New Roman"/>
          <w:sz w:val="32"/>
          <w:szCs w:val="32"/>
        </w:rPr>
        <w:t>二级单位党政负责人是本单位实验室安全分级分类管理工作主要领导责任人。</w:t>
      </w:r>
    </w:p>
    <w:p>
      <w:pPr>
        <w:numPr>
          <w:ilvl w:val="255"/>
          <w:numId w:val="0"/>
        </w:numPr>
        <w:adjustRightInd w:val="0"/>
        <w:snapToGrid w:val="0"/>
        <w:spacing w:line="520" w:lineRule="exact"/>
        <w:ind w:firstLine="640" w:firstLineChars="200"/>
        <w:rPr>
          <w:rFonts w:eastAsia="仿宋_GB2312" w:cs="Times New Roman"/>
          <w:sz w:val="32"/>
          <w:szCs w:val="32"/>
        </w:rPr>
      </w:pPr>
      <w:r>
        <w:rPr>
          <w:rFonts w:hint="eastAsia" w:ascii="楷体" w:hAnsi="楷体" w:eastAsia="楷体" w:cs="Times New Roman"/>
          <w:sz w:val="32"/>
          <w:szCs w:val="32"/>
        </w:rPr>
        <w:t>第六条</w:t>
      </w:r>
      <w:r>
        <w:rPr>
          <w:rFonts w:hint="eastAsia" w:eastAsia="仿宋_GB2312" w:cs="Times New Roman"/>
          <w:sz w:val="32"/>
          <w:szCs w:val="32"/>
        </w:rPr>
        <w:t xml:space="preserve">  实验室应按照本办法要求，判定本实验室类别和风险等级，并报本实验室所属二级单位审核确认。</w:t>
      </w:r>
    </w:p>
    <w:p>
      <w:pPr>
        <w:numPr>
          <w:ilvl w:val="255"/>
          <w:numId w:val="0"/>
        </w:numPr>
        <w:adjustRightInd w:val="0"/>
        <w:snapToGrid w:val="0"/>
        <w:spacing w:line="520" w:lineRule="exact"/>
        <w:ind w:firstLine="640" w:firstLineChars="200"/>
        <w:rPr>
          <w:rFonts w:eastAsia="仿宋_GB2312" w:cs="Times New Roman"/>
          <w:sz w:val="32"/>
          <w:szCs w:val="32"/>
        </w:rPr>
      </w:pPr>
      <w:r>
        <w:rPr>
          <w:rFonts w:hint="eastAsia" w:eastAsia="仿宋_GB2312" w:cs="Times New Roman"/>
          <w:sz w:val="32"/>
          <w:szCs w:val="32"/>
        </w:rPr>
        <w:t>实验室负责人是本实验室安全分级分类管理工作的直接责任人。</w:t>
      </w:r>
    </w:p>
    <w:p>
      <w:pPr>
        <w:adjustRightInd w:val="0"/>
        <w:snapToGrid w:val="0"/>
        <w:spacing w:before="211" w:beforeLines="50" w:after="211" w:afterLines="50"/>
        <w:ind w:firstLine="0" w:firstLineChars="0"/>
        <w:jc w:val="center"/>
        <w:rPr>
          <w:rFonts w:ascii="黑体" w:hAnsi="黑体" w:eastAsia="黑体" w:cs="黑体"/>
          <w:sz w:val="32"/>
          <w:szCs w:val="32"/>
        </w:rPr>
      </w:pPr>
      <w:r>
        <w:rPr>
          <w:rFonts w:hint="eastAsia" w:ascii="黑体" w:hAnsi="黑体" w:eastAsia="黑体" w:cs="黑体"/>
          <w:sz w:val="32"/>
          <w:szCs w:val="32"/>
        </w:rPr>
        <w:t>第三章 分级分类原则</w:t>
      </w:r>
    </w:p>
    <w:p>
      <w:pPr>
        <w:numPr>
          <w:ilvl w:val="255"/>
          <w:numId w:val="0"/>
        </w:numPr>
        <w:adjustRightInd w:val="0"/>
        <w:snapToGrid w:val="0"/>
        <w:spacing w:line="520" w:lineRule="exact"/>
        <w:ind w:firstLine="640" w:firstLineChars="200"/>
        <w:rPr>
          <w:rFonts w:eastAsia="仿宋_GB2312" w:cs="Times New Roman"/>
          <w:sz w:val="32"/>
          <w:szCs w:val="32"/>
        </w:rPr>
      </w:pPr>
      <w:r>
        <w:rPr>
          <w:rFonts w:hint="eastAsia" w:ascii="楷体" w:hAnsi="楷体" w:eastAsia="楷体" w:cs="Times New Roman"/>
          <w:sz w:val="32"/>
          <w:szCs w:val="32"/>
        </w:rPr>
        <w:t>第七条</w:t>
      </w:r>
      <w:r>
        <w:rPr>
          <w:rFonts w:hint="eastAsia" w:eastAsia="仿宋_GB2312" w:cs="Times New Roman"/>
          <w:sz w:val="32"/>
          <w:szCs w:val="32"/>
        </w:rPr>
        <w:t xml:space="preserve">  实验室安全分级是指根据实验室中存在的危险源及其存量进行风险评价，判定本实验室安全等级。实验室安全等级可分为</w:t>
      </w:r>
      <w:r>
        <w:rPr>
          <w:rFonts w:eastAsia="仿宋_GB2312" w:cs="Times New Roman"/>
          <w:sz w:val="32"/>
          <w:szCs w:val="32"/>
        </w:rPr>
        <w:t>Ⅰ</w:t>
      </w:r>
      <w:r>
        <w:rPr>
          <w:rFonts w:hint="eastAsia" w:eastAsia="仿宋_GB2312" w:cs="Times New Roman"/>
          <w:sz w:val="32"/>
          <w:szCs w:val="32"/>
        </w:rPr>
        <w:t>、</w:t>
      </w:r>
      <w:r>
        <w:rPr>
          <w:rFonts w:eastAsia="仿宋_GB2312" w:cs="Times New Roman"/>
          <w:sz w:val="32"/>
          <w:szCs w:val="32"/>
        </w:rPr>
        <w:t>Ⅱ</w:t>
      </w:r>
      <w:r>
        <w:rPr>
          <w:rFonts w:hint="eastAsia" w:eastAsia="仿宋_GB2312" w:cs="Times New Roman"/>
          <w:sz w:val="32"/>
          <w:szCs w:val="32"/>
        </w:rPr>
        <w:t>、</w:t>
      </w:r>
      <w:r>
        <w:rPr>
          <w:rFonts w:eastAsia="仿宋_GB2312" w:cs="Times New Roman"/>
          <w:sz w:val="32"/>
          <w:szCs w:val="32"/>
        </w:rPr>
        <w:t>Ⅲ</w:t>
      </w:r>
      <w:r>
        <w:rPr>
          <w:rFonts w:hint="eastAsia" w:eastAsia="仿宋_GB2312" w:cs="Times New Roman"/>
          <w:sz w:val="32"/>
          <w:szCs w:val="32"/>
        </w:rPr>
        <w:t>、</w:t>
      </w:r>
      <w:r>
        <w:rPr>
          <w:rFonts w:eastAsia="仿宋_GB2312" w:cs="Times New Roman"/>
          <w:sz w:val="32"/>
          <w:szCs w:val="32"/>
        </w:rPr>
        <w:t>Ⅳ</w:t>
      </w:r>
      <w:r>
        <w:rPr>
          <w:rFonts w:hint="eastAsia" w:eastAsia="仿宋_GB2312" w:cs="Times New Roman"/>
          <w:sz w:val="32"/>
          <w:szCs w:val="32"/>
        </w:rPr>
        <w:t>级（或红、橙、黄、蓝级），分别对应重大风险、高风险、中风险、低风险等级的实验室。等级划分可参考《合肥工业大学实验室安全分级表》（附件1）和《合肥工业大学实验室安全风险评价表》（附件2）。</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第八条</w:t>
      </w:r>
      <w:r>
        <w:rPr>
          <w:rFonts w:hint="eastAsia" w:eastAsia="仿宋_GB2312" w:cs="Times New Roman"/>
          <w:sz w:val="32"/>
          <w:szCs w:val="32"/>
        </w:rPr>
        <w:t xml:space="preserve">  实验室安全分类是指依据实验室中存在的主要危险源类别判定实验室安全类别。同一间实验室涉及危险源种类较多的，则依据等级最高的危险源来判定其类别。我校实验室可划分为化学类、生物类、辐射类、机电类、其他类等类别。类别划分参见《高校实验室分类参照表》（附件3）。</w:t>
      </w:r>
    </w:p>
    <w:p>
      <w:pPr>
        <w:numPr>
          <w:ilvl w:val="255"/>
          <w:numId w:val="0"/>
        </w:num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 xml:space="preserve">第九条  </w:t>
      </w:r>
      <w:r>
        <w:rPr>
          <w:rFonts w:hint="eastAsia" w:eastAsia="仿宋_GB2312" w:cs="Times New Roman"/>
          <w:sz w:val="32"/>
          <w:szCs w:val="32"/>
        </w:rPr>
        <w:t xml:space="preserve">实验室每年至少集中组织一次危险源辨识工作，同时开展相应的实验室安全教育，在此基础上进行实验室分级分类。  </w:t>
      </w:r>
    </w:p>
    <w:p>
      <w:pPr>
        <w:numPr>
          <w:ilvl w:val="255"/>
          <w:numId w:val="0"/>
        </w:num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 xml:space="preserve">第十条  </w:t>
      </w:r>
      <w:r>
        <w:rPr>
          <w:rFonts w:hint="eastAsia" w:eastAsia="仿宋_GB2312" w:cs="Times New Roman"/>
          <w:sz w:val="32"/>
          <w:szCs w:val="32"/>
        </w:rPr>
        <w:t>实验室分级分类结果和所涉及的主要危险源应在实验室门外的安全信息牌上标明，并及时更新。</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第十一条</w:t>
      </w:r>
      <w:r>
        <w:rPr>
          <w:rFonts w:hint="eastAsia" w:eastAsia="仿宋_GB2312" w:cs="Times New Roman"/>
          <w:sz w:val="32"/>
          <w:szCs w:val="32"/>
        </w:rPr>
        <w:t xml:space="preserve">  实验室的用途如研究内容、危险源类型与数量等因素发生变化时，实验室应立即重新进行危险源辨识和安全风险评价，重新判定实验室安全类别及级别，如需变更应立即报告所属二级单位。</w:t>
      </w:r>
    </w:p>
    <w:p>
      <w:pPr>
        <w:adjustRightInd w:val="0"/>
        <w:snapToGrid w:val="0"/>
        <w:spacing w:line="520" w:lineRule="exact"/>
        <w:ind w:firstLine="640"/>
        <w:rPr>
          <w:rFonts w:eastAsia="仿宋_GB2312" w:cs="Times New Roman"/>
          <w:sz w:val="32"/>
          <w:szCs w:val="32"/>
        </w:rPr>
      </w:pPr>
      <w:r>
        <w:rPr>
          <w:rFonts w:hint="eastAsia" w:eastAsia="仿宋_GB2312" w:cs="Times New Roman"/>
          <w:sz w:val="32"/>
          <w:szCs w:val="32"/>
        </w:rPr>
        <w:t>二级单位应及时更新和修正本单位实验室安全分级分类管理台账，同时报学校实验室安全管理处备案。</w:t>
      </w:r>
    </w:p>
    <w:p>
      <w:pPr>
        <w:adjustRightInd w:val="0"/>
        <w:snapToGrid w:val="0"/>
        <w:spacing w:line="520" w:lineRule="exact"/>
        <w:ind w:firstLine="640"/>
        <w:rPr>
          <w:rFonts w:eastAsia="仿宋_GB2312" w:cs="Times New Roman"/>
          <w:sz w:val="32"/>
          <w:szCs w:val="32"/>
        </w:rPr>
      </w:pPr>
      <w:r>
        <w:rPr>
          <w:rFonts w:hint="eastAsia" w:eastAsia="仿宋_GB2312" w:cs="Times New Roman"/>
          <w:sz w:val="32"/>
          <w:szCs w:val="32"/>
        </w:rPr>
        <w:t>实验室安全管理处及时更新全校实验室安全分级分类管理台账，并定期对实验室分级分类情况进行复核。</w:t>
      </w:r>
    </w:p>
    <w:p>
      <w:pPr>
        <w:numPr>
          <w:ilvl w:val="255"/>
          <w:numId w:val="0"/>
        </w:num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第十二条</w:t>
      </w:r>
      <w:r>
        <w:rPr>
          <w:rFonts w:hint="eastAsia" w:eastAsia="仿宋_GB2312" w:cs="Times New Roman"/>
          <w:sz w:val="32"/>
          <w:szCs w:val="32"/>
        </w:rPr>
        <w:t xml:space="preserve">  新建、改扩建实验室时，危险源辨识和安全风险评价应与建设项目同步进行，实验室安全分级分类工作应与项目同步完成。</w:t>
      </w:r>
    </w:p>
    <w:p>
      <w:pPr>
        <w:adjustRightInd w:val="0"/>
        <w:snapToGrid w:val="0"/>
        <w:spacing w:before="211" w:beforeLines="50" w:after="211" w:afterLines="50"/>
        <w:ind w:firstLine="0" w:firstLineChars="0"/>
        <w:jc w:val="center"/>
        <w:rPr>
          <w:rFonts w:ascii="黑体" w:hAnsi="黑体" w:eastAsia="黑体" w:cs="黑体"/>
          <w:sz w:val="32"/>
          <w:szCs w:val="32"/>
        </w:rPr>
      </w:pPr>
      <w:r>
        <w:rPr>
          <w:rFonts w:hint="eastAsia" w:ascii="黑体" w:hAnsi="黑体" w:eastAsia="黑体" w:cs="黑体"/>
          <w:sz w:val="32"/>
          <w:szCs w:val="32"/>
        </w:rPr>
        <w:t>第四章 分级管理与监督检查</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第十三条</w:t>
      </w:r>
      <w:r>
        <w:rPr>
          <w:rFonts w:hint="eastAsia" w:eastAsia="仿宋_GB2312" w:cs="Times New Roman"/>
          <w:sz w:val="32"/>
          <w:szCs w:val="32"/>
        </w:rPr>
        <w:t xml:space="preserve">  学校根据实验室分级分类结果，针对不同等级实验室，落实不同等级的管理要求。按照“突出重点、全面覆盖”的原则加强实验室安全监管</w:t>
      </w:r>
      <w:r>
        <w:rPr>
          <w:rFonts w:hint="eastAsia"/>
        </w:rPr>
        <w:t>，</w:t>
      </w:r>
      <w:r>
        <w:rPr>
          <w:rFonts w:hint="eastAsia" w:eastAsia="仿宋_GB2312" w:cs="Times New Roman"/>
          <w:sz w:val="32"/>
          <w:szCs w:val="32"/>
        </w:rPr>
        <w:t>二级单位和相关职能部门应及时保障实验室安全建设与投入。分级管理要求按《高校实验室分级管理要求参照表》（附件4）执行。</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第十四</w:t>
      </w:r>
      <w:r>
        <w:rPr>
          <w:rFonts w:ascii="楷体" w:hAnsi="楷体" w:eastAsia="楷体" w:cs="Times New Roman"/>
          <w:sz w:val="32"/>
          <w:szCs w:val="32"/>
        </w:rPr>
        <w:t>条</w:t>
      </w:r>
      <w:r>
        <w:rPr>
          <w:rFonts w:eastAsia="仿宋_GB2312" w:cs="Times New Roman"/>
          <w:sz w:val="32"/>
          <w:szCs w:val="32"/>
        </w:rPr>
        <w:t xml:space="preserve"> </w:t>
      </w:r>
      <w:r>
        <w:rPr>
          <w:rFonts w:hint="eastAsia" w:eastAsia="仿宋_GB2312" w:cs="Times New Roman"/>
          <w:sz w:val="32"/>
          <w:szCs w:val="32"/>
        </w:rPr>
        <w:t xml:space="preserve"> 安全等级为</w:t>
      </w:r>
      <w:r>
        <w:rPr>
          <w:rFonts w:eastAsia="仿宋_GB2312" w:cs="Times New Roman"/>
          <w:sz w:val="32"/>
          <w:szCs w:val="32"/>
        </w:rPr>
        <w:t>Ⅰ</w:t>
      </w:r>
      <w:r>
        <w:rPr>
          <w:rFonts w:hint="eastAsia" w:eastAsia="仿宋_GB2312" w:cs="Times New Roman"/>
          <w:sz w:val="32"/>
          <w:szCs w:val="32"/>
        </w:rPr>
        <w:t>级/红色级的实验室报教育部备案。</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第十五条</w:t>
      </w:r>
      <w:r>
        <w:rPr>
          <w:rFonts w:hint="eastAsia" w:eastAsia="仿宋_GB2312" w:cs="Times New Roman"/>
          <w:sz w:val="32"/>
          <w:szCs w:val="32"/>
        </w:rPr>
        <w:t xml:space="preserve">  学校党政主要负责人、学校实验室安全主管职能部门、二级单位、实验室等各级责任机构应根据学校、二级单位和本实验室实际情况，分级开展相应的安全检查工作。在重大隐患未完成整改前，不得在实验室中进行实验活动。</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第十六条</w:t>
      </w:r>
      <w:r>
        <w:rPr>
          <w:rFonts w:hint="eastAsia" w:eastAsia="仿宋_GB2312" w:cs="Times New Roman"/>
          <w:sz w:val="32"/>
          <w:szCs w:val="32"/>
        </w:rPr>
        <w:t xml:space="preserve">  实验室负责人、实验室安全管理员和实验人员等应根据所在实验室类别和安全等级，接受相应等级的安全培训并开展相应的应急演练。</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第十七条</w:t>
      </w:r>
      <w:r>
        <w:rPr>
          <w:rFonts w:hint="eastAsia" w:eastAsia="仿宋_GB2312" w:cs="Times New Roman"/>
          <w:sz w:val="32"/>
          <w:szCs w:val="32"/>
        </w:rPr>
        <w:t xml:space="preserve">  在实验室开展的科研项目、学生课题，或其他实验活动应进行相应等级的安全风险评估。涉及重要危险源的实验活动，二级单位应进行审查、备案，学校应不定期抽查。</w:t>
      </w:r>
    </w:p>
    <w:p>
      <w:pPr>
        <w:adjustRightInd w:val="0"/>
        <w:snapToGrid w:val="0"/>
        <w:spacing w:line="520" w:lineRule="exact"/>
        <w:ind w:firstLine="640"/>
        <w:rPr>
          <w:rFonts w:eastAsia="仿宋_GB2312" w:cs="Times New Roman"/>
          <w:sz w:val="32"/>
          <w:szCs w:val="32"/>
        </w:rPr>
      </w:pPr>
      <w:r>
        <w:rPr>
          <w:rFonts w:hint="eastAsia" w:eastAsia="仿宋_GB2312" w:cs="Times New Roman"/>
          <w:sz w:val="32"/>
          <w:szCs w:val="32"/>
        </w:rPr>
        <w:t>Ⅰ级/红色级、Ⅱ级/橙色级实验室应针对重要危险源制定相应的管理办法和应急管控措施，责任到人。</w:t>
      </w:r>
    </w:p>
    <w:p>
      <w:pPr>
        <w:adjustRightInd w:val="0"/>
        <w:snapToGrid w:val="0"/>
        <w:spacing w:line="520" w:lineRule="exact"/>
        <w:ind w:firstLine="640"/>
        <w:rPr>
          <w:rFonts w:eastAsia="仿宋_GB2312" w:cs="Times New Roman"/>
          <w:sz w:val="32"/>
          <w:szCs w:val="32"/>
        </w:rPr>
      </w:pPr>
      <w:r>
        <w:rPr>
          <w:rFonts w:hint="eastAsia" w:eastAsia="仿宋_GB2312" w:cs="Times New Roman"/>
          <w:sz w:val="32"/>
          <w:szCs w:val="32"/>
        </w:rPr>
        <w:t>重要危险源，指</w:t>
      </w:r>
      <w:r>
        <w:rPr>
          <w:rFonts w:hint="eastAsia" w:eastAsia="仿宋_GB2312" w:cs="Times New Roman"/>
          <w:sz w:val="32"/>
          <w:szCs w:val="32"/>
          <w:lang w:eastAsia="zh-CN"/>
        </w:rPr>
        <w:t>高危</w:t>
      </w:r>
      <w:bookmarkStart w:id="6" w:name="_GoBack"/>
      <w:bookmarkEnd w:id="6"/>
      <w:r>
        <w:rPr>
          <w:rFonts w:hint="eastAsia" w:eastAsia="仿宋_GB2312" w:cs="Times New Roman"/>
          <w:sz w:val="32"/>
          <w:szCs w:val="32"/>
        </w:rPr>
        <w:t>（特指剧毒、易制爆、易制毒、爆炸品等）化学品、危险（特指易燃、易爆、有毒、窒息、高压等）气体、动物及病原微生物、辐射源及射线装置、同位素及核材料、危险性机械加工装置、强电强磁与激光设备、特种设备，高温高压高速旋转、长时间不间断运行和超期服役且安全风险较高的仪器设备等。</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第十八条</w:t>
      </w:r>
      <w:r>
        <w:rPr>
          <w:rFonts w:hint="eastAsia" w:eastAsia="仿宋_GB2312" w:cs="Times New Roman"/>
          <w:sz w:val="32"/>
          <w:szCs w:val="32"/>
        </w:rPr>
        <w:t xml:space="preserve">  实验室应配备适用于其安全风险级别的安全设施设备和安全管理人员。高风险点位应安装监控和必要的监测报警装置。实验室应配备必要的个体防护设备设施。</w:t>
      </w:r>
    </w:p>
    <w:p>
      <w:pPr>
        <w:adjustRightInd w:val="0"/>
        <w:snapToGrid w:val="0"/>
        <w:spacing w:before="211" w:beforeLines="50" w:after="211" w:afterLines="50"/>
        <w:ind w:firstLine="0" w:firstLineChars="0"/>
        <w:jc w:val="center"/>
        <w:rPr>
          <w:rFonts w:ascii="黑体" w:hAnsi="黑体" w:eastAsia="黑体" w:cs="黑体"/>
          <w:sz w:val="32"/>
          <w:szCs w:val="32"/>
        </w:rPr>
      </w:pPr>
      <w:r>
        <w:rPr>
          <w:rFonts w:hint="eastAsia" w:ascii="黑体" w:hAnsi="黑体" w:eastAsia="黑体" w:cs="黑体"/>
          <w:sz w:val="32"/>
          <w:szCs w:val="32"/>
        </w:rPr>
        <w:t>第五章 附  则</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第十九条</w:t>
      </w:r>
      <w:r>
        <w:rPr>
          <w:rFonts w:hint="eastAsia" w:eastAsia="仿宋_GB2312" w:cs="Times New Roman"/>
          <w:sz w:val="32"/>
          <w:szCs w:val="32"/>
        </w:rPr>
        <w:t xml:space="preserve">  未按照本办法规定开展实验室安全分级分类管理工作，造成实验室安全事故事件的，将依法依规予以追责。</w:t>
      </w:r>
    </w:p>
    <w:p>
      <w:pPr>
        <w:adjustRightInd w:val="0"/>
        <w:snapToGrid w:val="0"/>
        <w:spacing w:line="520" w:lineRule="exact"/>
        <w:ind w:firstLine="640"/>
        <w:rPr>
          <w:rFonts w:eastAsia="仿宋_GB2312" w:cs="Times New Roman"/>
          <w:sz w:val="32"/>
          <w:szCs w:val="32"/>
        </w:rPr>
      </w:pPr>
      <w:r>
        <w:rPr>
          <w:rFonts w:hint="eastAsia" w:ascii="楷体" w:hAnsi="楷体" w:eastAsia="楷体" w:cs="Times New Roman"/>
          <w:sz w:val="32"/>
          <w:szCs w:val="32"/>
        </w:rPr>
        <w:t>第二十条</w:t>
      </w:r>
      <w:r>
        <w:rPr>
          <w:rFonts w:hint="eastAsia" w:eastAsia="仿宋_GB2312" w:cs="Times New Roman"/>
          <w:sz w:val="32"/>
          <w:szCs w:val="32"/>
        </w:rPr>
        <w:t xml:space="preserve">  本办法自发布之日起施行；原《合肥工业大学实验室安全风险评估与分类分级管理办法》即行废止。</w:t>
      </w:r>
    </w:p>
    <w:p>
      <w:pPr>
        <w:adjustRightInd w:val="0"/>
        <w:snapToGrid w:val="0"/>
        <w:spacing w:line="520" w:lineRule="exact"/>
        <w:ind w:firstLine="640"/>
        <w:rPr>
          <w:rFonts w:eastAsia="仿宋_GB2312" w:cs="Times New Roman"/>
          <w:sz w:val="32"/>
          <w:szCs w:val="32"/>
        </w:rPr>
      </w:pPr>
    </w:p>
    <w:p>
      <w:pPr>
        <w:adjustRightInd w:val="0"/>
        <w:snapToGrid w:val="0"/>
        <w:spacing w:line="520" w:lineRule="exact"/>
        <w:ind w:firstLine="640"/>
        <w:rPr>
          <w:rFonts w:eastAsia="仿宋_GB2312" w:cs="Times New Roman"/>
          <w:sz w:val="32"/>
          <w:szCs w:val="32"/>
        </w:rPr>
      </w:pPr>
      <w:r>
        <w:rPr>
          <w:rFonts w:hint="eastAsia" w:eastAsia="仿宋_GB2312" w:cs="Times New Roman"/>
          <w:sz w:val="32"/>
          <w:szCs w:val="32"/>
        </w:rPr>
        <w:t>附件：1.</w:t>
      </w:r>
      <w:bookmarkStart w:id="4" w:name="_Hlk165796654"/>
      <w:r>
        <w:rPr>
          <w:rFonts w:hint="eastAsia" w:eastAsia="仿宋_GB2312" w:cs="Times New Roman"/>
          <w:sz w:val="32"/>
          <w:szCs w:val="32"/>
        </w:rPr>
        <w:t>合肥工业大学</w:t>
      </w:r>
      <w:bookmarkEnd w:id="4"/>
      <w:r>
        <w:rPr>
          <w:rFonts w:hint="eastAsia" w:eastAsia="仿宋_GB2312" w:cs="Times New Roman"/>
          <w:sz w:val="32"/>
          <w:szCs w:val="32"/>
        </w:rPr>
        <w:t>实验室安全分级表</w:t>
      </w:r>
    </w:p>
    <w:p>
      <w:pPr>
        <w:adjustRightInd w:val="0"/>
        <w:snapToGrid w:val="0"/>
        <w:spacing w:line="520" w:lineRule="exact"/>
        <w:ind w:firstLine="1600" w:firstLineChars="500"/>
        <w:rPr>
          <w:rFonts w:eastAsia="仿宋_GB2312" w:cs="Times New Roman"/>
          <w:sz w:val="32"/>
          <w:szCs w:val="32"/>
        </w:rPr>
      </w:pPr>
      <w:r>
        <w:rPr>
          <w:rFonts w:hint="eastAsia" w:eastAsia="仿宋_GB2312" w:cs="Times New Roman"/>
          <w:sz w:val="32"/>
          <w:szCs w:val="32"/>
        </w:rPr>
        <w:t>2.合肥工业大学实验室安全风险评价表</w:t>
      </w:r>
    </w:p>
    <w:p>
      <w:pPr>
        <w:adjustRightInd w:val="0"/>
        <w:snapToGrid w:val="0"/>
        <w:spacing w:line="520" w:lineRule="exact"/>
        <w:ind w:firstLine="1600" w:firstLineChars="500"/>
        <w:rPr>
          <w:rFonts w:eastAsia="仿宋_GB2312" w:cs="Times New Roman"/>
          <w:sz w:val="32"/>
          <w:szCs w:val="32"/>
        </w:rPr>
      </w:pPr>
      <w:r>
        <w:rPr>
          <w:rFonts w:hint="eastAsia" w:eastAsia="仿宋_GB2312" w:cs="Times New Roman"/>
          <w:sz w:val="32"/>
          <w:szCs w:val="32"/>
        </w:rPr>
        <w:t>3.高校实验室分类参照表</w:t>
      </w:r>
    </w:p>
    <w:p>
      <w:pPr>
        <w:adjustRightInd w:val="0"/>
        <w:snapToGrid w:val="0"/>
        <w:spacing w:line="520" w:lineRule="exact"/>
        <w:ind w:firstLine="1600" w:firstLineChars="500"/>
        <w:rPr>
          <w:rFonts w:eastAsia="仿宋_GB2312" w:cs="Times New Roman"/>
          <w:sz w:val="32"/>
          <w:szCs w:val="32"/>
        </w:rPr>
      </w:pPr>
      <w:r>
        <w:rPr>
          <w:rFonts w:hint="eastAsia" w:eastAsia="仿宋_GB2312" w:cs="Times New Roman"/>
          <w:sz w:val="32"/>
          <w:szCs w:val="32"/>
        </w:rPr>
        <w:t>4.高校实验室分级管理要求参照表</w:t>
      </w:r>
    </w:p>
    <w:p>
      <w:pPr>
        <w:adjustRightInd w:val="0"/>
        <w:snapToGrid w:val="0"/>
        <w:spacing w:line="520" w:lineRule="exact"/>
        <w:ind w:firstLine="640"/>
        <w:rPr>
          <w:rFonts w:eastAsia="仿宋_GB2312" w:cs="Times New Roman"/>
          <w:sz w:val="32"/>
          <w:szCs w:val="32"/>
        </w:rPr>
      </w:pPr>
    </w:p>
    <w:p>
      <w:pPr>
        <w:spacing w:line="560" w:lineRule="exact"/>
        <w:ind w:firstLine="640"/>
        <w:rPr>
          <w:rFonts w:eastAsia="仿宋_GB2312" w:cs="Times New Roman"/>
          <w:sz w:val="32"/>
          <w:szCs w:val="32"/>
        </w:rPr>
        <w:sectPr>
          <w:headerReference r:id="rId7" w:type="first"/>
          <w:footerReference r:id="rId10" w:type="first"/>
          <w:headerReference r:id="rId5" w:type="default"/>
          <w:footerReference r:id="rId8" w:type="default"/>
          <w:headerReference r:id="rId6" w:type="even"/>
          <w:footerReference r:id="rId9" w:type="even"/>
          <w:pgSz w:w="11900" w:h="16840"/>
          <w:pgMar w:top="2098" w:right="1531" w:bottom="1985" w:left="1531" w:header="851" w:footer="1587" w:gutter="0"/>
          <w:pgNumType w:start="3"/>
          <w:cols w:space="425" w:num="1"/>
          <w:docGrid w:type="linesAndChars" w:linePitch="423" w:charSpace="0"/>
        </w:sectPr>
      </w:pPr>
    </w:p>
    <w:p>
      <w:pPr>
        <w:adjustRightInd w:val="0"/>
        <w:snapToGrid w:val="0"/>
        <w:spacing w:after="423" w:afterLines="10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1</w:t>
      </w:r>
    </w:p>
    <w:p>
      <w:pPr>
        <w:spacing w:after="211" w:afterLines="50" w:line="520" w:lineRule="exact"/>
        <w:ind w:firstLine="365" w:firstLineChars="83"/>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合肥工业大学实验室安全分级表</w:t>
      </w:r>
    </w:p>
    <w:tbl>
      <w:tblPr>
        <w:tblStyle w:val="14"/>
        <w:tblW w:w="921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6"/>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 w:hRule="atLeast"/>
          <w:tblHeader/>
        </w:trPr>
        <w:tc>
          <w:tcPr>
            <w:tcW w:w="1276"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安全级别</w:t>
            </w:r>
          </w:p>
        </w:tc>
        <w:tc>
          <w:tcPr>
            <w:tcW w:w="7938"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参考分级依据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8" w:hRule="atLeast"/>
        </w:trPr>
        <w:tc>
          <w:tcPr>
            <w:tcW w:w="1276" w:type="dxa"/>
            <w:vMerge w:val="restart"/>
          </w:tcPr>
          <w:p>
            <w:pPr>
              <w:spacing w:line="240" w:lineRule="auto"/>
              <w:ind w:firstLine="0" w:firstLineChars="0"/>
              <w:rPr>
                <w:rFonts w:eastAsia="仿宋_GB2312" w:cs="Times New Roman"/>
                <w:szCs w:val="24"/>
              </w:rPr>
            </w:pPr>
            <w:r>
              <w:rPr>
                <w:rFonts w:eastAsia="仿宋_GB2312" w:cs="Times New Roman"/>
                <w:szCs w:val="24"/>
              </w:rPr>
              <w:t>Ⅰ级</w:t>
            </w:r>
            <w:r>
              <w:rPr>
                <w:rFonts w:hint="eastAsia" w:eastAsia="仿宋_GB2312" w:cs="Times New Roman"/>
                <w:szCs w:val="24"/>
              </w:rPr>
              <w:t>/红色级</w:t>
            </w:r>
            <w:r>
              <w:rPr>
                <w:rFonts w:eastAsia="仿宋_GB2312" w:cs="Times New Roman"/>
                <w:szCs w:val="24"/>
              </w:rPr>
              <w:t>实验室</w:t>
            </w:r>
            <w:r>
              <w:rPr>
                <w:rFonts w:hint="eastAsia" w:eastAsia="仿宋_GB2312" w:cs="Times New Roman"/>
                <w:szCs w:val="24"/>
              </w:rPr>
              <w:t>（重大风险实验室）</w:t>
            </w:r>
          </w:p>
        </w:tc>
        <w:tc>
          <w:tcPr>
            <w:tcW w:w="7938" w:type="dxa"/>
          </w:tcPr>
          <w:p>
            <w:pPr>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实验</w:t>
            </w:r>
            <w:r>
              <w:rPr>
                <w:rFonts w:hint="eastAsia" w:eastAsia="仿宋_GB2312" w:cs="Times New Roman"/>
                <w:szCs w:val="24"/>
              </w:rPr>
              <w:t>原料或</w:t>
            </w:r>
            <w:r>
              <w:rPr>
                <w:rFonts w:eastAsia="仿宋_GB2312" w:cs="Times New Roman"/>
                <w:szCs w:val="24"/>
              </w:rPr>
              <w:t>产物含剧毒化学成分；</w:t>
            </w:r>
          </w:p>
          <w:p>
            <w:pPr>
              <w:pStyle w:val="22"/>
              <w:numPr>
                <w:ilvl w:val="0"/>
                <w:numId w:val="1"/>
              </w:numPr>
              <w:spacing w:line="240" w:lineRule="auto"/>
              <w:ind w:firstLineChars="0"/>
              <w:rPr>
                <w:rFonts w:eastAsia="仿宋_GB2312" w:cs="Times New Roman"/>
                <w:szCs w:val="24"/>
              </w:rPr>
            </w:pPr>
            <w:r>
              <w:rPr>
                <w:rFonts w:hint="eastAsia" w:eastAsia="仿宋_GB2312" w:cs="Times New Roman"/>
                <w:szCs w:val="24"/>
              </w:rPr>
              <w:t>使用</w:t>
            </w:r>
            <w:r>
              <w:rPr>
                <w:rFonts w:eastAsia="仿宋_GB2312" w:cs="Times New Roman"/>
                <w:szCs w:val="24"/>
              </w:rPr>
              <w:t>剧毒化学品</w:t>
            </w:r>
            <w:r>
              <w:rPr>
                <w:rFonts w:hint="eastAsia" w:eastAsia="仿宋_GB2312" w:cs="Times New Roman"/>
                <w:szCs w:val="24"/>
              </w:rPr>
              <w:t>；</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存储第一类易制毒品、第一类精神药品；</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存储易燃易爆化学品总量大于50kg或50L；</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存储有毒、易燃气体总量≥6瓶；</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3</w:t>
            </w:r>
            <w:r>
              <w:rPr>
                <w:rFonts w:hint="eastAsia" w:eastAsia="仿宋_GB2312" w:cs="Times New Roman"/>
                <w:szCs w:val="24"/>
              </w:rPr>
              <w:t>、ABSL-3</w:t>
            </w:r>
            <w:r>
              <w:rPr>
                <w:rFonts w:eastAsia="仿宋_GB2312" w:cs="Times New Roman"/>
                <w:szCs w:val="24"/>
              </w:rPr>
              <w:t>、</w:t>
            </w:r>
            <w:r>
              <w:rPr>
                <w:rFonts w:hint="eastAsia" w:eastAsia="仿宋_GB2312" w:cs="Times New Roman"/>
                <w:szCs w:val="24"/>
              </w:rPr>
              <w:t>BSL-4、ABSL-</w:t>
            </w:r>
            <w:r>
              <w:rPr>
                <w:rFonts w:eastAsia="仿宋_GB2312" w:cs="Times New Roman"/>
                <w:szCs w:val="24"/>
              </w:rPr>
              <w:t>4实验室；</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使用I、II类射线设备；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使用放射性同位素、放射源、核材料；</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使用机电类特种设备；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使用超高压</w:t>
            </w:r>
            <w:r>
              <w:rPr>
                <w:rFonts w:hint="eastAsia" w:eastAsia="仿宋_GB2312" w:cs="Times New Roman"/>
                <w:szCs w:val="24"/>
              </w:rPr>
              <w:t>等</w:t>
            </w:r>
            <w:r>
              <w:rPr>
                <w:rFonts w:eastAsia="仿宋_GB2312" w:cs="Times New Roman"/>
                <w:szCs w:val="24"/>
              </w:rPr>
              <w:t>第三类压力容器；</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使用强磁、强电设备；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使用4、3R、3B类激光设备；</w:t>
            </w:r>
          </w:p>
          <w:p>
            <w:pPr>
              <w:pStyle w:val="22"/>
              <w:numPr>
                <w:ilvl w:val="0"/>
                <w:numId w:val="1"/>
              </w:numPr>
              <w:spacing w:line="240" w:lineRule="auto"/>
              <w:ind w:firstLineChars="0"/>
              <w:rPr>
                <w:rFonts w:eastAsia="仿宋_GB2312" w:cs="Times New Roman"/>
                <w:szCs w:val="24"/>
              </w:rPr>
            </w:pPr>
            <w:r>
              <w:rPr>
                <w:rFonts w:eastAsia="仿宋_GB2312" w:cs="Times New Roman"/>
                <w:szCs w:val="24"/>
              </w:rPr>
              <w:t>使用富氧涉爆</w:t>
            </w:r>
            <w:r>
              <w:rPr>
                <w:rFonts w:hint="eastAsia" w:eastAsia="仿宋_GB2312" w:cs="Times New Roman"/>
                <w:szCs w:val="24"/>
              </w:rPr>
              <w:t>实验室自制设备。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 w:hRule="atLeast"/>
        </w:trPr>
        <w:tc>
          <w:tcPr>
            <w:tcW w:w="1276" w:type="dxa"/>
            <w:vMerge w:val="continue"/>
          </w:tcPr>
          <w:p>
            <w:pPr>
              <w:spacing w:line="240" w:lineRule="auto"/>
              <w:ind w:firstLine="0" w:firstLineChars="0"/>
              <w:rPr>
                <w:rFonts w:eastAsia="仿宋_GB2312" w:cs="Times New Roman"/>
                <w:szCs w:val="24"/>
              </w:rPr>
            </w:pPr>
          </w:p>
        </w:tc>
        <w:tc>
          <w:tcPr>
            <w:tcW w:w="7938" w:type="dxa"/>
          </w:tcPr>
          <w:p>
            <w:pPr>
              <w:spacing w:line="240" w:lineRule="auto"/>
              <w:ind w:firstLine="0" w:firstLineChars="0"/>
              <w:rPr>
                <w:rFonts w:eastAsia="仿宋_GB2312" w:cs="Times New Roman"/>
                <w:szCs w:val="24"/>
              </w:rPr>
            </w:pPr>
            <w:r>
              <w:rPr>
                <w:rFonts w:eastAsia="仿宋_GB2312" w:cs="Times New Roman"/>
                <w:szCs w:val="24"/>
              </w:rPr>
              <w:t>按照《</w:t>
            </w:r>
            <w:r>
              <w:rPr>
                <w:rFonts w:hint="eastAsia" w:eastAsia="仿宋_GB2312" w:cs="Times New Roman"/>
                <w:szCs w:val="24"/>
              </w:rPr>
              <w:t>合肥工业大学</w:t>
            </w:r>
            <w:r>
              <w:rPr>
                <w:rFonts w:eastAsia="仿宋_GB2312" w:cs="Times New Roman"/>
                <w:szCs w:val="24"/>
              </w:rPr>
              <w:t>实验室安全风险评价表》评分达到100分的实验室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276" w:type="dxa"/>
            <w:vMerge w:val="restart"/>
          </w:tcPr>
          <w:p>
            <w:pPr>
              <w:spacing w:line="240" w:lineRule="auto"/>
              <w:ind w:firstLine="0" w:firstLineChars="0"/>
              <w:rPr>
                <w:rFonts w:eastAsia="仿宋_GB2312" w:cs="Times New Roman"/>
                <w:szCs w:val="24"/>
              </w:rPr>
            </w:pPr>
            <w:r>
              <w:rPr>
                <w:rFonts w:eastAsia="仿宋_GB2312" w:cs="Times New Roman"/>
                <w:szCs w:val="24"/>
              </w:rPr>
              <w:t>Ⅱ级</w:t>
            </w:r>
            <w:r>
              <w:rPr>
                <w:rFonts w:hint="eastAsia" w:eastAsia="仿宋_GB2312" w:cs="Times New Roman"/>
                <w:szCs w:val="24"/>
              </w:rPr>
              <w:t>/橙色级</w:t>
            </w:r>
            <w:r>
              <w:rPr>
                <w:rFonts w:eastAsia="仿宋_GB2312" w:cs="Times New Roman"/>
                <w:szCs w:val="24"/>
              </w:rPr>
              <w:t>实验室</w:t>
            </w:r>
            <w:r>
              <w:rPr>
                <w:rFonts w:hint="eastAsia" w:eastAsia="仿宋_GB2312" w:cs="Times New Roman"/>
                <w:szCs w:val="24"/>
              </w:rPr>
              <w:t>（高风险实验室）</w:t>
            </w:r>
          </w:p>
        </w:tc>
        <w:tc>
          <w:tcPr>
            <w:tcW w:w="7938" w:type="dxa"/>
          </w:tcPr>
          <w:p>
            <w:pPr>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存储第二类精神药品；</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存储易燃易爆化学品总量为20~50kg或20~50L；</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存储有毒、易燃气体总量为3~6（不含）瓶；</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2</w:t>
            </w:r>
            <w:r>
              <w:rPr>
                <w:rFonts w:hint="eastAsia" w:eastAsia="仿宋_GB2312" w:cs="Times New Roman"/>
                <w:szCs w:val="24"/>
              </w:rPr>
              <w:t>、ABSL-2</w:t>
            </w:r>
            <w:r>
              <w:rPr>
                <w:rFonts w:eastAsia="仿宋_GB2312" w:cs="Times New Roman"/>
                <w:szCs w:val="24"/>
              </w:rPr>
              <w:t>实验室；</w:t>
            </w:r>
          </w:p>
          <w:p>
            <w:pPr>
              <w:pStyle w:val="22"/>
              <w:numPr>
                <w:ilvl w:val="0"/>
                <w:numId w:val="2"/>
              </w:numPr>
              <w:spacing w:line="240" w:lineRule="auto"/>
              <w:ind w:firstLineChars="0"/>
              <w:rPr>
                <w:rFonts w:eastAsia="仿宋_GB2312" w:cs="Times New Roman"/>
                <w:szCs w:val="24"/>
              </w:rPr>
            </w:pPr>
            <w:r>
              <w:rPr>
                <w:rFonts w:eastAsia="仿宋_GB2312" w:cs="Times New Roman"/>
                <w:szCs w:val="24"/>
              </w:rPr>
              <w:t>使用第一类、第二类压力容器</w:t>
            </w:r>
            <w:r>
              <w:rPr>
                <w:rFonts w:hint="eastAsia" w:eastAsia="仿宋_GB2312"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276" w:type="dxa"/>
            <w:vMerge w:val="continue"/>
          </w:tcPr>
          <w:p>
            <w:pPr>
              <w:spacing w:line="240" w:lineRule="auto"/>
              <w:ind w:firstLine="0" w:firstLineChars="0"/>
              <w:rPr>
                <w:rFonts w:eastAsia="仿宋_GB2312" w:cs="Times New Roman"/>
                <w:szCs w:val="24"/>
              </w:rPr>
            </w:pPr>
          </w:p>
        </w:tc>
        <w:tc>
          <w:tcPr>
            <w:tcW w:w="7938" w:type="dxa"/>
          </w:tcPr>
          <w:p>
            <w:pPr>
              <w:spacing w:line="240" w:lineRule="auto"/>
              <w:ind w:firstLine="0" w:firstLineChars="0"/>
              <w:rPr>
                <w:rFonts w:eastAsia="仿宋_GB2312" w:cs="Times New Roman"/>
                <w:szCs w:val="24"/>
              </w:rPr>
            </w:pPr>
            <w:r>
              <w:rPr>
                <w:rFonts w:eastAsia="仿宋_GB2312" w:cs="Times New Roman"/>
                <w:szCs w:val="24"/>
              </w:rPr>
              <w:t>按照《</w:t>
            </w:r>
            <w:r>
              <w:rPr>
                <w:rFonts w:hint="eastAsia" w:eastAsia="仿宋_GB2312" w:cs="Times New Roman"/>
                <w:szCs w:val="24"/>
              </w:rPr>
              <w:t>合肥工业大学</w:t>
            </w:r>
            <w:r>
              <w:rPr>
                <w:rFonts w:eastAsia="仿宋_GB2312" w:cs="Times New Roman"/>
                <w:szCs w:val="24"/>
              </w:rPr>
              <w:t>实验室安全风险评价表》评分在[75, 100)范围的实验室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276" w:type="dxa"/>
            <w:vMerge w:val="restart"/>
          </w:tcPr>
          <w:p>
            <w:pPr>
              <w:spacing w:line="240" w:lineRule="auto"/>
              <w:ind w:firstLine="0" w:firstLineChars="0"/>
              <w:rPr>
                <w:rFonts w:eastAsia="仿宋_GB2312" w:cs="Times New Roman"/>
                <w:szCs w:val="24"/>
              </w:rPr>
            </w:pPr>
            <w:r>
              <w:rPr>
                <w:rFonts w:eastAsia="仿宋_GB2312" w:cs="Times New Roman"/>
                <w:szCs w:val="24"/>
              </w:rPr>
              <w:t>Ⅲ级</w:t>
            </w:r>
            <w:r>
              <w:rPr>
                <w:rFonts w:hint="eastAsia" w:eastAsia="仿宋_GB2312" w:cs="Times New Roman"/>
                <w:szCs w:val="24"/>
              </w:rPr>
              <w:t>/黄色级</w:t>
            </w:r>
            <w:r>
              <w:rPr>
                <w:rFonts w:eastAsia="仿宋_GB2312" w:cs="Times New Roman"/>
                <w:szCs w:val="24"/>
              </w:rPr>
              <w:t>实验室</w:t>
            </w:r>
            <w:r>
              <w:rPr>
                <w:rFonts w:hint="eastAsia" w:eastAsia="仿宋_GB2312" w:cs="Times New Roman"/>
                <w:szCs w:val="24"/>
              </w:rPr>
              <w:t>（中风险实验室）</w:t>
            </w:r>
          </w:p>
        </w:tc>
        <w:tc>
          <w:tcPr>
            <w:tcW w:w="7938" w:type="dxa"/>
          </w:tcPr>
          <w:p>
            <w:pPr>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存储第二/三类易制毒品；</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生物安全</w:t>
            </w:r>
            <w:r>
              <w:rPr>
                <w:rFonts w:hint="eastAsia" w:eastAsia="仿宋_GB2312" w:cs="Times New Roman"/>
                <w:szCs w:val="24"/>
              </w:rPr>
              <w:t>BSL-</w:t>
            </w:r>
            <w:r>
              <w:rPr>
                <w:rFonts w:eastAsia="仿宋_GB2312" w:cs="Times New Roman"/>
                <w:szCs w:val="24"/>
              </w:rPr>
              <w:t>1</w:t>
            </w:r>
            <w:r>
              <w:rPr>
                <w:rFonts w:hint="eastAsia" w:eastAsia="仿宋_GB2312" w:cs="Times New Roman"/>
                <w:szCs w:val="24"/>
              </w:rPr>
              <w:t>、ABSL-1</w:t>
            </w:r>
            <w:r>
              <w:rPr>
                <w:rFonts w:eastAsia="仿宋_GB2312" w:cs="Times New Roman"/>
                <w:szCs w:val="24"/>
              </w:rPr>
              <w:t>实验室；</w:t>
            </w:r>
          </w:p>
          <w:p>
            <w:pPr>
              <w:pStyle w:val="22"/>
              <w:numPr>
                <w:ilvl w:val="0"/>
                <w:numId w:val="3"/>
              </w:numPr>
              <w:spacing w:line="240" w:lineRule="auto"/>
              <w:ind w:firstLineChars="0"/>
              <w:rPr>
                <w:rFonts w:eastAsia="仿宋_GB2312" w:cs="Times New Roman"/>
                <w:szCs w:val="24"/>
              </w:rPr>
            </w:pPr>
            <w:r>
              <w:rPr>
                <w:rFonts w:eastAsia="仿宋_GB2312" w:cs="Times New Roman"/>
                <w:szCs w:val="24"/>
              </w:rPr>
              <w:t>基础</w:t>
            </w:r>
            <w:r>
              <w:rPr>
                <w:rFonts w:hint="eastAsia" w:eastAsia="仿宋_GB2312" w:cs="Times New Roman"/>
                <w:szCs w:val="24"/>
              </w:rPr>
              <w:t>设施</w:t>
            </w:r>
            <w:r>
              <w:rPr>
                <w:rFonts w:eastAsia="仿宋_GB2312" w:cs="Times New Roman"/>
                <w:szCs w:val="24"/>
              </w:rPr>
              <w:t>老化</w:t>
            </w:r>
            <w:r>
              <w:rPr>
                <w:rFonts w:hint="eastAsia" w:eastAsia="仿宋_GB2312" w:cs="Times New Roman"/>
                <w:szCs w:val="24"/>
              </w:rPr>
              <w:t>；</w:t>
            </w:r>
          </w:p>
          <w:p>
            <w:pPr>
              <w:pStyle w:val="22"/>
              <w:numPr>
                <w:ilvl w:val="0"/>
                <w:numId w:val="3"/>
              </w:numPr>
              <w:spacing w:line="240" w:lineRule="auto"/>
              <w:ind w:firstLineChars="0"/>
              <w:rPr>
                <w:rFonts w:eastAsia="仿宋_GB2312" w:cs="Times New Roman"/>
                <w:szCs w:val="24"/>
              </w:rPr>
            </w:pPr>
            <w:r>
              <w:rPr>
                <w:rFonts w:hint="eastAsia" w:eastAsia="仿宋_GB2312" w:cs="Times New Roman"/>
                <w:szCs w:val="24"/>
              </w:rPr>
              <w:t>设备连续运行时间</w:t>
            </w:r>
            <w:r>
              <w:rPr>
                <w:rFonts w:eastAsia="仿宋_GB2312" w:cs="Times New Roman"/>
                <w:szCs w:val="24"/>
              </w:rPr>
              <w:t>≥</w:t>
            </w:r>
            <w:r>
              <w:rPr>
                <w:rFonts w:hint="eastAsia" w:eastAsia="仿宋_GB2312" w:cs="Times New Roman"/>
                <w:szCs w:val="24"/>
              </w:rPr>
              <w:t>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276" w:type="dxa"/>
            <w:vMerge w:val="continue"/>
          </w:tcPr>
          <w:p>
            <w:pPr>
              <w:spacing w:line="240" w:lineRule="auto"/>
              <w:ind w:firstLine="0" w:firstLineChars="0"/>
              <w:rPr>
                <w:rFonts w:eastAsia="仿宋_GB2312" w:cs="Times New Roman"/>
                <w:szCs w:val="24"/>
              </w:rPr>
            </w:pPr>
          </w:p>
        </w:tc>
        <w:tc>
          <w:tcPr>
            <w:tcW w:w="7938" w:type="dxa"/>
          </w:tcPr>
          <w:p>
            <w:pPr>
              <w:spacing w:line="240" w:lineRule="auto"/>
              <w:ind w:firstLine="0" w:firstLineChars="0"/>
              <w:rPr>
                <w:rFonts w:eastAsia="仿宋_GB2312" w:cs="Times New Roman"/>
                <w:szCs w:val="24"/>
              </w:rPr>
            </w:pPr>
            <w:r>
              <w:rPr>
                <w:rFonts w:eastAsia="仿宋_GB2312" w:cs="Times New Roman"/>
                <w:szCs w:val="24"/>
              </w:rPr>
              <w:t>按照《</w:t>
            </w:r>
            <w:r>
              <w:rPr>
                <w:rFonts w:hint="eastAsia" w:eastAsia="仿宋_GB2312" w:cs="Times New Roman"/>
                <w:szCs w:val="24"/>
              </w:rPr>
              <w:t>合肥工业大学</w:t>
            </w:r>
            <w:r>
              <w:rPr>
                <w:rFonts w:eastAsia="仿宋_GB2312" w:cs="Times New Roman"/>
                <w:szCs w:val="24"/>
              </w:rPr>
              <w:t>实验室安全风险评价表》评分在[25, 75)范围的实验室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1276" w:type="dxa"/>
            <w:vMerge w:val="restart"/>
          </w:tcPr>
          <w:p>
            <w:pPr>
              <w:spacing w:line="240" w:lineRule="auto"/>
              <w:ind w:firstLine="0" w:firstLineChars="0"/>
              <w:rPr>
                <w:rFonts w:eastAsia="仿宋_GB2312" w:cs="Times New Roman"/>
                <w:szCs w:val="24"/>
              </w:rPr>
            </w:pPr>
            <w:r>
              <w:rPr>
                <w:rFonts w:eastAsia="仿宋_GB2312" w:cs="Times New Roman"/>
                <w:szCs w:val="24"/>
              </w:rPr>
              <w:t>Ⅳ级</w:t>
            </w:r>
            <w:r>
              <w:rPr>
                <w:rFonts w:hint="eastAsia" w:eastAsia="仿宋_GB2312" w:cs="Times New Roman"/>
                <w:szCs w:val="24"/>
              </w:rPr>
              <w:t>/蓝色级</w:t>
            </w:r>
            <w:r>
              <w:rPr>
                <w:rFonts w:eastAsia="仿宋_GB2312" w:cs="Times New Roman"/>
                <w:szCs w:val="24"/>
              </w:rPr>
              <w:t>实验室</w:t>
            </w:r>
            <w:r>
              <w:rPr>
                <w:rFonts w:hint="eastAsia" w:eastAsia="仿宋_GB2312" w:cs="Times New Roman"/>
                <w:szCs w:val="24"/>
              </w:rPr>
              <w:t>（低风险实验室）</w:t>
            </w:r>
          </w:p>
        </w:tc>
        <w:tc>
          <w:tcPr>
            <w:tcW w:w="7938" w:type="dxa"/>
          </w:tcPr>
          <w:p>
            <w:pPr>
              <w:pStyle w:val="22"/>
              <w:spacing w:line="240" w:lineRule="auto"/>
              <w:ind w:firstLine="0" w:firstLineChars="0"/>
              <w:rPr>
                <w:rFonts w:eastAsia="仿宋_GB2312" w:cs="Times New Roman"/>
                <w:szCs w:val="24"/>
              </w:rPr>
            </w:pPr>
            <w:r>
              <w:rPr>
                <w:rFonts w:eastAsia="仿宋_GB2312" w:cs="Times New Roman"/>
                <w:szCs w:val="24"/>
              </w:rPr>
              <w:t>实验室有以下情况之一的：</w:t>
            </w:r>
          </w:p>
          <w:p>
            <w:pPr>
              <w:pStyle w:val="22"/>
              <w:numPr>
                <w:ilvl w:val="0"/>
                <w:numId w:val="4"/>
              </w:numPr>
              <w:spacing w:line="240" w:lineRule="auto"/>
              <w:ind w:firstLineChars="0"/>
              <w:rPr>
                <w:rFonts w:eastAsia="仿宋_GB2312" w:cs="Times New Roman"/>
                <w:szCs w:val="24"/>
              </w:rPr>
            </w:pPr>
            <w:r>
              <w:rPr>
                <w:rFonts w:eastAsia="仿宋_GB2312" w:cs="Times New Roman"/>
                <w:szCs w:val="24"/>
              </w:rPr>
              <w:t>不涉及重要危险源的实验室；</w:t>
            </w:r>
          </w:p>
          <w:p>
            <w:pPr>
              <w:pStyle w:val="22"/>
              <w:numPr>
                <w:ilvl w:val="0"/>
                <w:numId w:val="4"/>
              </w:numPr>
              <w:spacing w:line="240" w:lineRule="auto"/>
              <w:ind w:firstLineChars="0"/>
              <w:rPr>
                <w:rFonts w:eastAsia="仿宋_GB2312" w:cs="Times New Roman"/>
                <w:szCs w:val="24"/>
              </w:rPr>
            </w:pPr>
            <w:r>
              <w:rPr>
                <w:rFonts w:eastAsia="仿宋_GB2312" w:cs="Times New Roman"/>
                <w:szCs w:val="24"/>
              </w:rPr>
              <w:t>主要涉及一般性消防安全、用电安全的实验室</w:t>
            </w:r>
            <w:r>
              <w:rPr>
                <w:rFonts w:hint="eastAsia" w:eastAsia="仿宋_GB2312" w:cs="Times New Roman"/>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 w:hRule="atLeast"/>
        </w:trPr>
        <w:tc>
          <w:tcPr>
            <w:tcW w:w="1276" w:type="dxa"/>
            <w:vMerge w:val="continue"/>
          </w:tcPr>
          <w:p>
            <w:pPr>
              <w:spacing w:line="240" w:lineRule="auto"/>
              <w:ind w:firstLine="0" w:firstLineChars="0"/>
              <w:rPr>
                <w:rFonts w:eastAsia="仿宋_GB2312" w:cs="Times New Roman"/>
                <w:szCs w:val="24"/>
              </w:rPr>
            </w:pPr>
          </w:p>
        </w:tc>
        <w:tc>
          <w:tcPr>
            <w:tcW w:w="7938" w:type="dxa"/>
          </w:tcPr>
          <w:p>
            <w:pPr>
              <w:spacing w:line="240" w:lineRule="auto"/>
              <w:ind w:firstLine="0" w:firstLineChars="0"/>
              <w:rPr>
                <w:rFonts w:eastAsia="仿宋_GB2312" w:cs="Times New Roman"/>
                <w:szCs w:val="24"/>
              </w:rPr>
            </w:pPr>
            <w:r>
              <w:rPr>
                <w:rFonts w:eastAsia="仿宋_GB2312" w:cs="Times New Roman"/>
                <w:szCs w:val="24"/>
              </w:rPr>
              <w:t>按照《</w:t>
            </w:r>
            <w:r>
              <w:rPr>
                <w:rFonts w:hint="eastAsia" w:eastAsia="仿宋_GB2312" w:cs="Times New Roman"/>
                <w:szCs w:val="24"/>
              </w:rPr>
              <w:t>合肥工业大学</w:t>
            </w:r>
            <w:r>
              <w:rPr>
                <w:rFonts w:eastAsia="仿宋_GB2312" w:cs="Times New Roman"/>
                <w:szCs w:val="24"/>
              </w:rPr>
              <w:t>实验室安全风险评价表》评分在[0, 25)范围的实验室</w:t>
            </w:r>
          </w:p>
        </w:tc>
      </w:tr>
    </w:tbl>
    <w:p>
      <w:pPr>
        <w:spacing w:line="240" w:lineRule="auto"/>
        <w:ind w:firstLine="0" w:firstLineChars="0"/>
        <w:rPr>
          <w:rFonts w:eastAsia="仿宋_GB2312" w:cs="Times New Roman"/>
        </w:rPr>
      </w:pPr>
      <w:r>
        <w:rPr>
          <w:rFonts w:hint="eastAsia" w:eastAsia="仿宋_GB2312" w:cs="Times New Roman"/>
        </w:rPr>
        <w:t>注：</w:t>
      </w:r>
    </w:p>
    <w:p>
      <w:pPr>
        <w:spacing w:line="240" w:lineRule="auto"/>
        <w:ind w:firstLine="480"/>
        <w:rPr>
          <w:rFonts w:eastAsia="仿宋_GB2312" w:cs="Times New Roman"/>
        </w:rPr>
      </w:pPr>
      <w:r>
        <w:rPr>
          <w:rFonts w:hint="eastAsia" w:eastAsia="仿宋_GB2312" w:cs="Times New Roman"/>
        </w:rPr>
        <w:t>1.实验室分级先按表中各级实验室所对应的参考情况划分，无所列情况的，按《</w:t>
      </w:r>
      <w:bookmarkStart w:id="5" w:name="_Hlk165293599"/>
      <w:r>
        <w:rPr>
          <w:rFonts w:hint="eastAsia" w:eastAsia="仿宋_GB2312" w:cs="Times New Roman"/>
        </w:rPr>
        <w:t>合肥工业大学</w:t>
      </w:r>
      <w:bookmarkEnd w:id="5"/>
      <w:r>
        <w:rPr>
          <w:rFonts w:hint="eastAsia" w:eastAsia="仿宋_GB2312" w:cs="Times New Roman"/>
        </w:rPr>
        <w:t>实验室安全风险评价表》进行累计评分确定等级。</w:t>
      </w:r>
    </w:p>
    <w:p>
      <w:pPr>
        <w:spacing w:line="240" w:lineRule="auto"/>
        <w:ind w:firstLine="480"/>
        <w:rPr>
          <w:rFonts w:eastAsia="仿宋_GB2312" w:cs="Times New Roman"/>
        </w:rPr>
      </w:pPr>
      <w:r>
        <w:rPr>
          <w:rFonts w:hint="eastAsia" w:eastAsia="仿宋_GB2312" w:cs="Times New Roman"/>
        </w:rPr>
        <w:t>2.对于既有本表所列参考情况，又有《合肥工业大学实验室安全风险评价表》所列危险源的，取两者较高者所对应的实验室等级。</w:t>
      </w:r>
    </w:p>
    <w:p>
      <w:pPr>
        <w:spacing w:line="240" w:lineRule="auto"/>
        <w:ind w:firstLine="480"/>
        <w:rPr>
          <w:rFonts w:eastAsia="仿宋_GB2312" w:cs="Times New Roman"/>
        </w:rPr>
      </w:pPr>
    </w:p>
    <w:p>
      <w:pPr>
        <w:spacing w:line="560" w:lineRule="exact"/>
        <w:ind w:firstLine="0" w:firstLineChars="0"/>
        <w:rPr>
          <w:rFonts w:ascii="黑体" w:hAnsi="黑体" w:eastAsia="黑体" w:cs="黑体"/>
          <w:sz w:val="32"/>
          <w:szCs w:val="32"/>
        </w:rPr>
      </w:pPr>
    </w:p>
    <w:p>
      <w:pPr>
        <w:spacing w:line="560" w:lineRule="exact"/>
        <w:ind w:firstLine="0" w:firstLineChars="0"/>
        <w:rPr>
          <w:rFonts w:ascii="黑体" w:hAnsi="黑体" w:eastAsia="黑体" w:cs="黑体"/>
          <w:sz w:val="32"/>
          <w:szCs w:val="32"/>
        </w:rPr>
        <w:sectPr>
          <w:pgSz w:w="11900" w:h="16840"/>
          <w:pgMar w:top="2098" w:right="1474" w:bottom="1985" w:left="1588" w:header="737" w:footer="1531" w:gutter="0"/>
          <w:cols w:space="425" w:num="1"/>
          <w:docGrid w:type="linesAndChars" w:linePitch="423" w:charSpace="0"/>
        </w:sectPr>
      </w:pPr>
    </w:p>
    <w:p>
      <w:pPr>
        <w:spacing w:after="423" w:afterLines="10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2</w:t>
      </w:r>
    </w:p>
    <w:p>
      <w:pPr>
        <w:spacing w:after="211" w:afterLines="50" w:line="520" w:lineRule="exact"/>
        <w:ind w:firstLine="0" w:firstLineChars="0"/>
        <w:jc w:val="center"/>
        <w:rPr>
          <w:rFonts w:ascii="方正小标宋简体" w:hAnsi="方正小标宋简体" w:eastAsia="方正小标宋简体" w:cs="方正小标宋简体"/>
          <w:sz w:val="44"/>
          <w:szCs w:val="40"/>
        </w:rPr>
      </w:pPr>
      <w:r>
        <w:rPr>
          <w:rFonts w:hint="eastAsia" w:ascii="方正小标宋简体" w:hAnsi="方正小标宋简体" w:eastAsia="方正小标宋简体" w:cs="方正小标宋简体"/>
          <w:sz w:val="44"/>
          <w:szCs w:val="40"/>
        </w:rPr>
        <w:t>合肥工业大学实验室安全风险评价表</w:t>
      </w:r>
    </w:p>
    <w:tbl>
      <w:tblPr>
        <w:tblStyle w:val="14"/>
        <w:tblW w:w="895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1"/>
        <w:gridCol w:w="7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tblHeader/>
        </w:trPr>
        <w:tc>
          <w:tcPr>
            <w:tcW w:w="1481"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每项计分</w:t>
            </w:r>
          </w:p>
        </w:tc>
        <w:tc>
          <w:tcPr>
            <w:tcW w:w="7478" w:type="dxa"/>
          </w:tcPr>
          <w:p>
            <w:pPr>
              <w:spacing w:line="240" w:lineRule="auto"/>
              <w:ind w:firstLine="0" w:firstLineChars="0"/>
              <w:jc w:val="center"/>
              <w:rPr>
                <w:rFonts w:ascii="黑体" w:hAnsi="黑体" w:eastAsia="黑体" w:cs="黑体"/>
                <w:bCs/>
                <w:szCs w:val="24"/>
              </w:rPr>
            </w:pPr>
            <w:r>
              <w:rPr>
                <w:rFonts w:hint="eastAsia" w:ascii="黑体" w:hAnsi="黑体" w:eastAsia="黑体" w:cs="黑体"/>
                <w:bCs/>
                <w:szCs w:val="24"/>
              </w:rPr>
              <w:t>风险源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81" w:type="dxa"/>
          </w:tcPr>
          <w:p>
            <w:pPr>
              <w:spacing w:line="240" w:lineRule="auto"/>
              <w:ind w:firstLine="0" w:firstLineChars="0"/>
              <w:jc w:val="center"/>
              <w:rPr>
                <w:rFonts w:eastAsia="仿宋_GB2312" w:cs="Times New Roman"/>
                <w:szCs w:val="24"/>
              </w:rPr>
            </w:pPr>
            <w:r>
              <w:rPr>
                <w:rFonts w:eastAsia="仿宋_GB2312" w:cs="Times New Roman"/>
                <w:szCs w:val="24"/>
              </w:rPr>
              <w:t>25分</w:t>
            </w:r>
          </w:p>
          <w:p>
            <w:pPr>
              <w:spacing w:line="240" w:lineRule="auto"/>
              <w:ind w:firstLine="0" w:firstLineChars="0"/>
              <w:rPr>
                <w:rFonts w:eastAsia="仿宋_GB2312" w:cs="Times New Roman"/>
                <w:szCs w:val="24"/>
              </w:rPr>
            </w:pPr>
          </w:p>
        </w:tc>
        <w:tc>
          <w:tcPr>
            <w:tcW w:w="7478" w:type="dxa"/>
          </w:tcPr>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存储易燃易爆化学品总量在5~20kg或5~20L；</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存储一般危化品总量50~100kg或50~100L；</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存储有毒、易燃气体总量为2瓶；</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使用III类射线设备的数量≥2台；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使用简单压力容器的数量≥3台；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实验室使用危险机加工装置的数量≥3台；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实验室使用加热设备数量≥6台；</w:t>
            </w:r>
          </w:p>
          <w:p>
            <w:pPr>
              <w:pStyle w:val="22"/>
              <w:numPr>
                <w:ilvl w:val="0"/>
                <w:numId w:val="5"/>
              </w:numPr>
              <w:spacing w:line="240" w:lineRule="auto"/>
              <w:ind w:firstLine="0" w:firstLineChars="0"/>
              <w:rPr>
                <w:rFonts w:eastAsia="仿宋_GB2312" w:cs="Times New Roman"/>
                <w:szCs w:val="24"/>
              </w:rPr>
            </w:pPr>
            <w:r>
              <w:rPr>
                <w:rFonts w:eastAsia="仿宋_GB2312" w:cs="Times New Roman"/>
                <w:szCs w:val="24"/>
              </w:rPr>
              <w:t>实验室每月危险废物产生量≥100 L或kg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1" w:type="dxa"/>
          </w:tcPr>
          <w:p>
            <w:pPr>
              <w:spacing w:line="240" w:lineRule="auto"/>
              <w:ind w:firstLine="0" w:firstLineChars="0"/>
              <w:jc w:val="center"/>
              <w:rPr>
                <w:rFonts w:eastAsia="仿宋_GB2312" w:cs="Times New Roman"/>
                <w:szCs w:val="24"/>
              </w:rPr>
            </w:pPr>
            <w:r>
              <w:rPr>
                <w:rFonts w:eastAsia="仿宋_GB2312" w:cs="Times New Roman"/>
                <w:szCs w:val="24"/>
              </w:rPr>
              <w:t>10分</w:t>
            </w:r>
          </w:p>
        </w:tc>
        <w:tc>
          <w:tcPr>
            <w:tcW w:w="7478" w:type="dxa"/>
          </w:tcPr>
          <w:p>
            <w:pPr>
              <w:pStyle w:val="22"/>
              <w:numPr>
                <w:ilvl w:val="0"/>
                <w:numId w:val="6"/>
              </w:numPr>
              <w:spacing w:line="240" w:lineRule="auto"/>
              <w:ind w:firstLineChars="0"/>
              <w:rPr>
                <w:rFonts w:eastAsia="仿宋_GB2312" w:cs="Times New Roman"/>
                <w:szCs w:val="24"/>
              </w:rPr>
            </w:pPr>
            <w:r>
              <w:rPr>
                <w:rFonts w:hint="eastAsia" w:eastAsia="仿宋_GB2312" w:cs="Times New Roman"/>
                <w:szCs w:val="24"/>
              </w:rPr>
              <w:t>开展</w:t>
            </w:r>
            <w:r>
              <w:rPr>
                <w:rFonts w:eastAsia="仿宋_GB2312" w:cs="Times New Roman"/>
                <w:szCs w:val="24"/>
              </w:rPr>
              <w:t>超过人体安全电压（36V）的实验；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涉及合成放热实验；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涉及压力实验；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产生易燃气体的实验；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涉及持续加热实验；</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使用一般</w:t>
            </w:r>
            <w:r>
              <w:rPr>
                <w:rFonts w:hint="eastAsia" w:eastAsia="仿宋_GB2312" w:cs="Times New Roman"/>
                <w:szCs w:val="24"/>
              </w:rPr>
              <w:t>实验室自制设备</w:t>
            </w:r>
            <w:r>
              <w:rPr>
                <w:rFonts w:eastAsia="仿宋_GB2312" w:cs="Times New Roman"/>
                <w:szCs w:val="24"/>
              </w:rPr>
              <w:t>；</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存储易燃易爆化学品＜5kg或5L；</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实验室存储一般危化品总量＜50kg或50L；</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存储有毒、易燃气体1瓶；</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存储或使用有活性的病原微生物，对人或其他动物感染性较弱，或感染后易治愈；</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使用简单压力容器1~2台；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使用III类射线设备1台；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使用危险机加工装置1~2台；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使用一般机加工装置的数量≥5台；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实验室一般用电设备负载≥80%设计负载；</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使用2、2M、1、1M类激光设备的数量≥3台；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实验室每月危险废物产生量为20~100 L或kg；</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实验室使用</w:t>
            </w:r>
            <w:r>
              <w:rPr>
                <w:rFonts w:hint="eastAsia" w:eastAsia="仿宋_GB2312" w:cs="Times New Roman"/>
                <w:szCs w:val="24"/>
              </w:rPr>
              <w:t>加热设备数量</w:t>
            </w:r>
            <w:r>
              <w:rPr>
                <w:rFonts w:eastAsia="仿宋_GB2312" w:cs="Times New Roman"/>
                <w:szCs w:val="24"/>
              </w:rPr>
              <w:t>3~5台；</w:t>
            </w:r>
          </w:p>
          <w:p>
            <w:pPr>
              <w:pStyle w:val="22"/>
              <w:numPr>
                <w:ilvl w:val="0"/>
                <w:numId w:val="6"/>
              </w:numPr>
              <w:spacing w:line="240" w:lineRule="auto"/>
              <w:ind w:firstLineChars="0"/>
              <w:rPr>
                <w:rFonts w:eastAsia="仿宋_GB2312" w:cs="Times New Roman"/>
                <w:szCs w:val="24"/>
              </w:rPr>
            </w:pPr>
            <w:r>
              <w:rPr>
                <w:rFonts w:eastAsia="仿宋_GB2312" w:cs="Times New Roman"/>
                <w:szCs w:val="24"/>
              </w:rPr>
              <w:t>实验室使用每1台明火设备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481" w:type="dxa"/>
          </w:tcPr>
          <w:p>
            <w:pPr>
              <w:spacing w:line="240" w:lineRule="auto"/>
              <w:ind w:firstLine="0" w:firstLineChars="0"/>
              <w:jc w:val="center"/>
              <w:rPr>
                <w:rFonts w:eastAsia="仿宋_GB2312" w:cs="Times New Roman"/>
                <w:szCs w:val="24"/>
              </w:rPr>
            </w:pPr>
            <w:r>
              <w:rPr>
                <w:rFonts w:eastAsia="仿宋_GB2312" w:cs="Times New Roman"/>
                <w:szCs w:val="24"/>
              </w:rPr>
              <w:t>5分</w:t>
            </w:r>
          </w:p>
        </w:tc>
        <w:tc>
          <w:tcPr>
            <w:tcW w:w="7478" w:type="dxa"/>
          </w:tcPr>
          <w:p>
            <w:pPr>
              <w:pStyle w:val="22"/>
              <w:numPr>
                <w:ilvl w:val="0"/>
                <w:numId w:val="7"/>
              </w:numPr>
              <w:spacing w:line="240" w:lineRule="auto"/>
              <w:ind w:firstLineChars="0"/>
              <w:rPr>
                <w:rFonts w:eastAsia="仿宋_GB2312" w:cs="Times New Roman"/>
                <w:szCs w:val="24"/>
              </w:rPr>
            </w:pPr>
            <w:r>
              <w:rPr>
                <w:rFonts w:eastAsia="仿宋_GB2312" w:cs="Times New Roman"/>
                <w:szCs w:val="24"/>
              </w:rPr>
              <w:t>存储普通气体1~4瓶；</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使用一般机加工装置1~4台；</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使用2、2M、1、1M类激光设备1~2台；</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实验室每月危险废物产生量＜20 L或kg；</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实验室使用加热设备</w:t>
            </w:r>
            <w:r>
              <w:rPr>
                <w:rFonts w:hint="eastAsia" w:eastAsia="仿宋_GB2312" w:cs="Times New Roman"/>
                <w:szCs w:val="24"/>
              </w:rPr>
              <w:t>数量</w:t>
            </w:r>
            <w:r>
              <w:rPr>
                <w:rFonts w:eastAsia="仿宋_GB2312" w:cs="Times New Roman"/>
                <w:szCs w:val="24"/>
              </w:rPr>
              <w:t>1~2台；</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存放危险化学品的防爆冰箱或经防爆改造冰箱数量每1台</w:t>
            </w:r>
            <w:r>
              <w:rPr>
                <w:rFonts w:hint="eastAsia" w:eastAsia="仿宋_GB2312" w:cs="Times New Roman"/>
                <w:szCs w:val="24"/>
              </w:rPr>
              <w:t>；</w:t>
            </w:r>
          </w:p>
          <w:p>
            <w:pPr>
              <w:pStyle w:val="22"/>
              <w:numPr>
                <w:ilvl w:val="0"/>
                <w:numId w:val="7"/>
              </w:numPr>
              <w:spacing w:line="240" w:lineRule="auto"/>
              <w:ind w:firstLineChars="0"/>
              <w:rPr>
                <w:rFonts w:eastAsia="仿宋_GB2312" w:cs="Times New Roman"/>
                <w:szCs w:val="24"/>
              </w:rPr>
            </w:pPr>
            <w:r>
              <w:rPr>
                <w:rFonts w:eastAsia="仿宋_GB2312" w:cs="Times New Roman"/>
                <w:szCs w:val="24"/>
              </w:rPr>
              <w:t>实验室使用每1台快捷电热设备</w:t>
            </w:r>
          </w:p>
        </w:tc>
      </w:tr>
    </w:tbl>
    <w:p>
      <w:pPr>
        <w:spacing w:line="240" w:lineRule="auto"/>
        <w:ind w:firstLine="0" w:firstLineChars="0"/>
        <w:rPr>
          <w:rFonts w:eastAsia="仿宋_GB2312" w:cs="Times New Roman"/>
        </w:rPr>
      </w:pPr>
      <w:r>
        <w:rPr>
          <w:rFonts w:eastAsia="仿宋_GB2312" w:cs="Times New Roman"/>
        </w:rPr>
        <w:t>注：</w:t>
      </w:r>
    </w:p>
    <w:p>
      <w:pPr>
        <w:spacing w:line="240" w:lineRule="auto"/>
        <w:ind w:firstLine="480"/>
        <w:rPr>
          <w:rFonts w:eastAsia="仿宋_GB2312" w:cs="Times New Roman"/>
        </w:rPr>
      </w:pPr>
      <w:r>
        <w:rPr>
          <w:rFonts w:eastAsia="仿宋_GB2312" w:cs="Times New Roman"/>
        </w:rPr>
        <w:t>1.表中所称实验室房间均以面积为50m</w:t>
      </w:r>
      <w:r>
        <w:rPr>
          <w:rFonts w:eastAsia="仿宋_GB2312" w:cs="Times New Roman"/>
          <w:vertAlign w:val="superscript"/>
        </w:rPr>
        <w:t>2</w:t>
      </w:r>
      <w:r>
        <w:rPr>
          <w:rFonts w:eastAsia="仿宋_GB2312" w:cs="Times New Roman"/>
        </w:rPr>
        <w:t>计，其他面积可按比例调整评价内容；</w:t>
      </w:r>
    </w:p>
    <w:p>
      <w:pPr>
        <w:spacing w:line="240" w:lineRule="auto"/>
        <w:ind w:firstLine="480"/>
        <w:rPr>
          <w:rFonts w:eastAsia="仿宋_GB2312" w:cs="Times New Roman"/>
        </w:rPr>
      </w:pPr>
      <w:r>
        <w:rPr>
          <w:rFonts w:eastAsia="仿宋_GB2312" w:cs="Times New Roman"/>
        </w:rPr>
        <w:t>2.表中符合任</w:t>
      </w:r>
      <w:r>
        <w:rPr>
          <w:rFonts w:hint="eastAsia" w:eastAsia="仿宋_GB2312" w:cs="Times New Roman"/>
        </w:rPr>
        <w:t>1</w:t>
      </w:r>
      <w:r>
        <w:rPr>
          <w:rFonts w:eastAsia="仿宋_GB2312" w:cs="Times New Roman"/>
        </w:rPr>
        <w:t>种情况计</w:t>
      </w:r>
      <w:r>
        <w:rPr>
          <w:rFonts w:hint="eastAsia" w:eastAsia="仿宋_GB2312" w:cs="Times New Roman"/>
        </w:rPr>
        <w:t>相应分数</w:t>
      </w:r>
      <w:r>
        <w:rPr>
          <w:rFonts w:eastAsia="仿宋_GB2312" w:cs="Times New Roman"/>
        </w:rPr>
        <w:t>，符合多种情况</w:t>
      </w:r>
      <w:r>
        <w:rPr>
          <w:rFonts w:hint="eastAsia" w:eastAsia="仿宋_GB2312" w:cs="Times New Roman"/>
        </w:rPr>
        <w:t>，分数</w:t>
      </w:r>
      <w:r>
        <w:rPr>
          <w:rFonts w:eastAsia="仿宋_GB2312" w:cs="Times New Roman"/>
        </w:rPr>
        <w:t>累加计算</w:t>
      </w:r>
      <w:r>
        <w:rPr>
          <w:rFonts w:hint="eastAsia" w:eastAsia="仿宋_GB2312" w:cs="Times New Roman"/>
        </w:rPr>
        <w:t>，</w:t>
      </w:r>
      <w:r>
        <w:rPr>
          <w:rFonts w:eastAsia="仿宋_GB2312" w:cs="Times New Roman"/>
        </w:rPr>
        <w:t>最高100分；</w:t>
      </w:r>
    </w:p>
    <w:p>
      <w:pPr>
        <w:spacing w:line="240" w:lineRule="auto"/>
        <w:ind w:firstLine="480"/>
        <w:rPr>
          <w:rFonts w:eastAsia="仿宋_GB2312" w:cs="Times New Roman"/>
        </w:rPr>
      </w:pPr>
      <w:r>
        <w:rPr>
          <w:rFonts w:eastAsia="仿宋_GB2312" w:cs="Times New Roman"/>
        </w:rPr>
        <w:t>3.</w:t>
      </w:r>
      <w:r>
        <w:rPr>
          <w:rFonts w:hint="eastAsia" w:eastAsia="仿宋_GB2312" w:cs="Times New Roman"/>
        </w:rPr>
        <w:t>实验室自制设备</w:t>
      </w:r>
      <w:r>
        <w:rPr>
          <w:rFonts w:eastAsia="仿宋_GB2312" w:cs="Times New Roman"/>
        </w:rPr>
        <w:t>，是指由使用人自行或者委托其他单位进行设计、制造、安装的，并以其为载体进行实验活动的非标设备；对标准设备进行改造也参照自制</w:t>
      </w:r>
      <w:r>
        <w:rPr>
          <w:rFonts w:hint="eastAsia" w:eastAsia="仿宋_GB2312" w:cs="Times New Roman"/>
        </w:rPr>
        <w:t>设备</w:t>
      </w:r>
      <w:r>
        <w:rPr>
          <w:rFonts w:eastAsia="仿宋_GB2312" w:cs="Times New Roman"/>
        </w:rPr>
        <w:t>进行管理。</w:t>
      </w:r>
    </w:p>
    <w:p>
      <w:pPr>
        <w:ind w:firstLine="199" w:firstLineChars="83"/>
        <w:rPr>
          <w:rFonts w:eastAsia="仿宋_GB2312" w:cs="Times New Roman"/>
        </w:rPr>
        <w:sectPr>
          <w:pgSz w:w="11900" w:h="16840"/>
          <w:pgMar w:top="2098" w:right="1474" w:bottom="1985" w:left="1587" w:header="851" w:footer="1531" w:gutter="0"/>
          <w:cols w:space="425" w:num="1"/>
          <w:docGrid w:type="linesAndChars" w:linePitch="423" w:charSpace="0"/>
        </w:sectPr>
      </w:pPr>
    </w:p>
    <w:p>
      <w:pPr>
        <w:spacing w:after="211" w:afterLines="5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3</w:t>
      </w:r>
    </w:p>
    <w:p>
      <w:pPr>
        <w:spacing w:after="423" w:afterLines="100" w:line="56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高校实验室分类参照表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107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Pr>
          <w:p>
            <w:pPr>
              <w:spacing w:line="400" w:lineRule="exact"/>
              <w:ind w:firstLine="0" w:firstLineChars="0"/>
              <w:jc w:val="center"/>
              <w:rPr>
                <w:rFonts w:eastAsia="黑体" w:cs="Times New Roman"/>
                <w:szCs w:val="24"/>
              </w:rPr>
            </w:pPr>
            <w:r>
              <w:rPr>
                <w:rFonts w:eastAsia="黑体" w:cs="Times New Roman"/>
                <w:szCs w:val="24"/>
              </w:rPr>
              <w:t>序号</w:t>
            </w:r>
          </w:p>
        </w:tc>
        <w:tc>
          <w:tcPr>
            <w:tcW w:w="1701" w:type="dxa"/>
          </w:tcPr>
          <w:p>
            <w:pPr>
              <w:spacing w:line="400" w:lineRule="exact"/>
              <w:ind w:firstLine="0" w:firstLineChars="0"/>
              <w:jc w:val="center"/>
              <w:rPr>
                <w:rFonts w:eastAsia="黑体" w:cs="Times New Roman"/>
                <w:szCs w:val="24"/>
              </w:rPr>
            </w:pPr>
            <w:r>
              <w:rPr>
                <w:rFonts w:eastAsia="黑体" w:cs="Times New Roman"/>
                <w:szCs w:val="24"/>
              </w:rPr>
              <w:t>实验室分类</w:t>
            </w:r>
          </w:p>
        </w:tc>
        <w:tc>
          <w:tcPr>
            <w:tcW w:w="10773" w:type="dxa"/>
          </w:tcPr>
          <w:p>
            <w:pPr>
              <w:spacing w:line="400" w:lineRule="exact"/>
              <w:ind w:firstLine="0" w:firstLineChars="0"/>
              <w:jc w:val="center"/>
              <w:rPr>
                <w:rFonts w:eastAsia="黑体" w:cs="Times New Roman"/>
                <w:szCs w:val="24"/>
              </w:rPr>
            </w:pPr>
            <w:r>
              <w:rPr>
                <w:rFonts w:eastAsia="黑体" w:cs="Times New Roman"/>
                <w:szCs w:val="24"/>
              </w:rPr>
              <w:t>分类参照依据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1</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化学类实验室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从事化学、药学、化学工程、环境科学与工程、材料科学与工程等较多涉及化学试剂或化学反应的实验室。这类实验中的危险源分为两类，一类是易燃、易爆、有毒化学品（含实验气体）可能带来的化学性危险源，另一类是设备设施缺陷和防护缺陷所带来的物理性危险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2</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生物类实验室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从事基因工程、微生物学等生物和医学专业中较多涉及病毒、细菌、真菌等微生物研究和动物研究的实验室。这类实验室中细菌、病毒、真菌、寄生虫、动物寄生微生物等为主要危险源，它们的释放、扩散可能会污染实验室内外环境的空气、水、物体表面或感染人体。涉及病原微生物的实验室应进行相应的审批或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3</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辐射类实验室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包括物理、核科学与技术、医学、生物、化学</w:t>
            </w:r>
            <w:r>
              <w:rPr>
                <w:rFonts w:hint="eastAsia" w:eastAsia="仿宋_GB2312" w:cs="Times New Roman"/>
                <w:szCs w:val="24"/>
              </w:rPr>
              <w:t>、</w:t>
            </w:r>
            <w:r>
              <w:rPr>
                <w:rFonts w:eastAsia="仿宋_GB2312" w:cs="Times New Roman"/>
                <w:szCs w:val="24"/>
              </w:rPr>
              <w:t>材料科学与工程等专业方向中涉及放射性同位素、射线装置与核材料的实验室。这类实验中的危险源主要是放射性同位素、射线装置与核材料产生的电离辐射，可能对人体造成内外照射伤害，也可能对环境产生放射性污染；存放或使用核材料的实验室还存在核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4</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机电类实验室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机械设计与制造、过程装备与控制、化工机械、材料物理、电气工程、激光工程和人工智能等专业方向中涉及高温、高压、高速、高大等机械设备及其他强电、强磁、激光或低温设备的实验室，以及大型机房等。这类实验室的主要危险包括夹击、碰撞、剪切、卷入、绞、碾、割、刺等形式的机械伤害以及灼伤、电路短路、人员触电、激光伤害、冻伤等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704" w:type="dxa"/>
            <w:vAlign w:val="center"/>
          </w:tcPr>
          <w:p>
            <w:pPr>
              <w:spacing w:line="400" w:lineRule="exact"/>
              <w:ind w:firstLine="0" w:firstLineChars="0"/>
              <w:jc w:val="center"/>
              <w:rPr>
                <w:rFonts w:eastAsia="仿宋_GB2312" w:cs="Times New Roman"/>
                <w:szCs w:val="24"/>
              </w:rPr>
            </w:pPr>
            <w:r>
              <w:rPr>
                <w:rFonts w:eastAsia="仿宋_GB2312" w:cs="Times New Roman"/>
                <w:szCs w:val="24"/>
              </w:rPr>
              <w:t>5</w:t>
            </w:r>
          </w:p>
        </w:tc>
        <w:tc>
          <w:tcPr>
            <w:tcW w:w="170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其他类实验室</w:t>
            </w:r>
          </w:p>
        </w:tc>
        <w:tc>
          <w:tcPr>
            <w:tcW w:w="10773" w:type="dxa"/>
            <w:vAlign w:val="center"/>
          </w:tcPr>
          <w:p>
            <w:pPr>
              <w:spacing w:line="400" w:lineRule="exact"/>
              <w:ind w:firstLine="0" w:firstLineChars="0"/>
              <w:rPr>
                <w:rFonts w:eastAsia="仿宋_GB2312" w:cs="Times New Roman"/>
                <w:szCs w:val="24"/>
              </w:rPr>
            </w:pPr>
            <w:r>
              <w:rPr>
                <w:rFonts w:eastAsia="仿宋_GB2312" w:cs="Times New Roman"/>
                <w:szCs w:val="24"/>
              </w:rPr>
              <w:t>包括社科类、艺术类专业相关的实验室或实训室，危险源主要是少量的用电设备可能带来的用电安全</w:t>
            </w:r>
            <w:r>
              <w:rPr>
                <w:rFonts w:hint="eastAsia" w:eastAsia="仿宋_GB2312" w:cs="Times New Roman"/>
                <w:szCs w:val="24"/>
              </w:rPr>
              <w:t>或消防安全</w:t>
            </w:r>
            <w:r>
              <w:rPr>
                <w:rFonts w:eastAsia="仿宋_GB2312" w:cs="Times New Roman"/>
                <w:szCs w:val="24"/>
              </w:rPr>
              <w:t>风险</w:t>
            </w:r>
          </w:p>
        </w:tc>
      </w:tr>
      <w:bookmarkEnd w:id="3"/>
    </w:tbl>
    <w:p>
      <w:pPr>
        <w:spacing w:after="211" w:afterLines="50" w:line="560" w:lineRule="exact"/>
        <w:ind w:firstLine="0" w:firstLineChars="0"/>
        <w:rPr>
          <w:rFonts w:eastAsia="黑体" w:cs="Times New Roman"/>
          <w:sz w:val="32"/>
          <w:szCs w:val="32"/>
        </w:rPr>
      </w:pPr>
      <w:r>
        <w:rPr>
          <w:rFonts w:hint="eastAsia" w:ascii="黑体" w:hAnsi="黑体" w:eastAsia="黑体" w:cs="黑体"/>
          <w:sz w:val="32"/>
          <w:szCs w:val="32"/>
        </w:rPr>
        <w:t>附件</w:t>
      </w:r>
      <w:r>
        <w:rPr>
          <w:rFonts w:eastAsia="黑体" w:cs="Times New Roman"/>
          <w:sz w:val="32"/>
          <w:szCs w:val="32"/>
        </w:rPr>
        <w:t>4</w:t>
      </w:r>
    </w:p>
    <w:p>
      <w:pPr>
        <w:spacing w:after="423" w:afterLines="100" w:line="560" w:lineRule="exact"/>
        <w:ind w:firstLine="0" w:firstLineChars="0"/>
        <w:jc w:val="center"/>
        <w:rPr>
          <w:rFonts w:ascii="方正小标宋简体" w:eastAsia="方正小标宋简体" w:cs="Times New Roman"/>
          <w:sz w:val="44"/>
          <w:szCs w:val="44"/>
        </w:rPr>
      </w:pPr>
      <w:r>
        <w:rPr>
          <w:rFonts w:hint="eastAsia" w:ascii="方正小标宋简体" w:eastAsia="方正小标宋简体" w:cs="Times New Roman"/>
          <w:sz w:val="44"/>
          <w:szCs w:val="44"/>
        </w:rPr>
        <w:t>高校实验室分级管理要求参照表</w:t>
      </w:r>
    </w:p>
    <w:tbl>
      <w:tblPr>
        <w:tblStyle w:val="14"/>
        <w:tblW w:w="13350"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4"/>
        <w:gridCol w:w="3024"/>
        <w:gridCol w:w="3024"/>
        <w:gridCol w:w="3024"/>
        <w:gridCol w:w="30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21" w:type="dxa"/>
            <w:vMerge w:val="restart"/>
          </w:tcPr>
          <w:p>
            <w:pPr>
              <w:spacing w:line="400" w:lineRule="exact"/>
              <w:ind w:firstLine="0" w:firstLineChars="0"/>
              <w:jc w:val="center"/>
              <w:rPr>
                <w:rFonts w:ascii="黑体" w:hAnsi="黑体" w:eastAsia="黑体" w:cs="黑体"/>
                <w:szCs w:val="24"/>
              </w:rPr>
            </w:pPr>
            <w:r>
              <w:rPr>
                <w:rFonts w:hint="eastAsia" w:ascii="黑体" w:hAnsi="黑体" w:eastAsia="黑体" w:cs="黑体"/>
                <w:szCs w:val="24"/>
              </w:rPr>
              <w:t>管理要求</w:t>
            </w:r>
          </w:p>
        </w:tc>
        <w:tc>
          <w:tcPr>
            <w:tcW w:w="2948" w:type="dxa"/>
            <w:gridSpan w:val="4"/>
          </w:tcPr>
          <w:p>
            <w:pPr>
              <w:spacing w:line="400" w:lineRule="exact"/>
              <w:ind w:firstLine="0" w:firstLineChars="0"/>
              <w:jc w:val="center"/>
              <w:rPr>
                <w:rFonts w:ascii="黑体" w:hAnsi="黑体" w:eastAsia="黑体" w:cs="黑体"/>
                <w:szCs w:val="24"/>
              </w:rPr>
            </w:pPr>
            <w:r>
              <w:rPr>
                <w:rFonts w:hint="eastAsia" w:ascii="黑体" w:hAnsi="黑体" w:eastAsia="黑体" w:cs="黑体"/>
                <w:szCs w:val="24"/>
              </w:rPr>
              <w:t>实验室分级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21" w:type="dxa"/>
            <w:vMerge w:val="continue"/>
          </w:tcPr>
          <w:p>
            <w:pPr>
              <w:spacing w:line="400" w:lineRule="exact"/>
              <w:ind w:firstLine="0" w:firstLineChars="0"/>
              <w:jc w:val="center"/>
              <w:rPr>
                <w:rFonts w:ascii="黑体" w:hAnsi="黑体" w:eastAsia="黑体" w:cs="黑体"/>
                <w:szCs w:val="24"/>
              </w:rPr>
            </w:pP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Ⅰ级</w:t>
            </w:r>
            <w:r>
              <w:rPr>
                <w:rFonts w:hint="eastAsia" w:eastAsia="黑体" w:cs="Times New Roman"/>
                <w:szCs w:val="24"/>
              </w:rPr>
              <w:t>/红色级</w:t>
            </w:r>
            <w:r>
              <w:rPr>
                <w:rFonts w:eastAsia="黑体" w:cs="Times New Roman"/>
                <w:szCs w:val="24"/>
              </w:rPr>
              <w:t>实验室</w:t>
            </w: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Ⅱ级</w:t>
            </w:r>
            <w:r>
              <w:rPr>
                <w:rFonts w:hint="eastAsia" w:eastAsia="黑体" w:cs="Times New Roman"/>
                <w:szCs w:val="24"/>
              </w:rPr>
              <w:t>/橙色级</w:t>
            </w:r>
            <w:r>
              <w:rPr>
                <w:rFonts w:eastAsia="黑体" w:cs="Times New Roman"/>
                <w:szCs w:val="24"/>
              </w:rPr>
              <w:t>实验室</w:t>
            </w: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Ⅲ级</w:t>
            </w:r>
            <w:r>
              <w:rPr>
                <w:rFonts w:hint="eastAsia" w:eastAsia="黑体" w:cs="Times New Roman"/>
                <w:szCs w:val="24"/>
              </w:rPr>
              <w:t>/黄色级</w:t>
            </w:r>
            <w:r>
              <w:rPr>
                <w:rFonts w:eastAsia="黑体" w:cs="Times New Roman"/>
                <w:szCs w:val="24"/>
              </w:rPr>
              <w:t>实验室</w:t>
            </w:r>
          </w:p>
        </w:tc>
        <w:tc>
          <w:tcPr>
            <w:tcW w:w="2948" w:type="dxa"/>
          </w:tcPr>
          <w:p>
            <w:pPr>
              <w:spacing w:line="400" w:lineRule="exact"/>
              <w:ind w:firstLine="0" w:firstLineChars="0"/>
              <w:jc w:val="center"/>
              <w:rPr>
                <w:rFonts w:eastAsia="黑体" w:cs="Times New Roman"/>
                <w:szCs w:val="24"/>
              </w:rPr>
            </w:pPr>
            <w:r>
              <w:rPr>
                <w:rFonts w:eastAsia="黑体" w:cs="Times New Roman"/>
                <w:szCs w:val="24"/>
              </w:rPr>
              <w:t>Ⅳ级</w:t>
            </w:r>
            <w:r>
              <w:rPr>
                <w:rFonts w:hint="eastAsia" w:eastAsia="黑体" w:cs="Times New Roman"/>
                <w:szCs w:val="24"/>
              </w:rPr>
              <w:t>/蓝色级</w:t>
            </w:r>
            <w:r>
              <w:rPr>
                <w:rFonts w:eastAsia="黑体" w:cs="Times New Roman"/>
                <w:szCs w:val="24"/>
              </w:rPr>
              <w:t>实验室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0"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安全检查</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学校党政主要负责人每年牵头开展不少于1次安全检查；学校主管职能部门每月开展不少于1次安全检查；二级单位每周开展不少于1次安全检查；实验室做到“实验结束必巡”</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分管校领导每年牵头开展不少于1次安全检查；学校主管职能部门每季度开展不少于1次安全检查；二级单位每月开展不少于1次安全检查；实验室做到“实验结束必巡”</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学校主管职能部门每半年开展不少于1次安全检查</w:t>
            </w:r>
            <w:r>
              <w:rPr>
                <w:rFonts w:hint="eastAsia" w:eastAsia="仿宋_GB2312" w:cs="Times New Roman"/>
                <w:szCs w:val="24"/>
              </w:rPr>
              <w:t>；</w:t>
            </w:r>
            <w:r>
              <w:rPr>
                <w:rFonts w:eastAsia="仿宋_GB2312" w:cs="Times New Roman"/>
                <w:szCs w:val="24"/>
              </w:rPr>
              <w:t>二级单位每季度开展不少于1次安全检查</w:t>
            </w:r>
            <w:r>
              <w:rPr>
                <w:rFonts w:hint="eastAsia" w:eastAsia="仿宋_GB2312" w:cs="Times New Roman"/>
                <w:szCs w:val="24"/>
              </w:rPr>
              <w:t>；</w:t>
            </w:r>
            <w:r>
              <w:rPr>
                <w:rFonts w:eastAsia="仿宋_GB2312" w:cs="Times New Roman"/>
                <w:szCs w:val="24"/>
              </w:rPr>
              <w:t>实验室做到经常性检查</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学校主管职能部门每年开展不少于1次安全检查</w:t>
            </w:r>
            <w:r>
              <w:rPr>
                <w:rFonts w:hint="eastAsia" w:eastAsia="仿宋_GB2312" w:cs="Times New Roman"/>
                <w:szCs w:val="24"/>
              </w:rPr>
              <w:t>；</w:t>
            </w:r>
            <w:r>
              <w:rPr>
                <w:rFonts w:eastAsia="仿宋_GB2312" w:cs="Times New Roman"/>
                <w:szCs w:val="24"/>
              </w:rPr>
              <w:t>二级单位每半年开展不少于1次安全检查</w:t>
            </w:r>
            <w:r>
              <w:rPr>
                <w:rFonts w:hint="eastAsia" w:eastAsia="仿宋_GB2312" w:cs="Times New Roman"/>
                <w:szCs w:val="24"/>
              </w:rPr>
              <w:t>；</w:t>
            </w:r>
            <w:r>
              <w:rPr>
                <w:rFonts w:eastAsia="仿宋_GB2312" w:cs="Times New Roman"/>
                <w:szCs w:val="24"/>
              </w:rPr>
              <w:t>实验室做到经常性检查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安全培训</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实验室安全管理人员、实验人员完成不少于24学时的准入安全培训，之后每年完成不少于8学时的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含应急演练）；每年开展不少于2次应急演练</w:t>
            </w:r>
            <w:r>
              <w:rPr>
                <w:rFonts w:hint="eastAsia" w:eastAsia="仿宋_GB2312" w:cs="Times New Roman"/>
                <w:szCs w:val="24"/>
              </w:rPr>
              <w:t>（含针对重要危险源的应急演练）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实验室安全管理人员、实验人员完成不少于16学时的准入安全培训，之后每年完成不少于4学时的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含应急演练）；每年开展不少于1次应急演练</w:t>
            </w:r>
            <w:r>
              <w:rPr>
                <w:rFonts w:hint="eastAsia" w:eastAsia="仿宋_GB2312" w:cs="Times New Roman"/>
                <w:szCs w:val="24"/>
              </w:rPr>
              <w:t>（含针对重要危险源的应急演练）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实验室安全管理人员、实验人员完成不少于8学时的准入安全培训，之后每年完成不少于2学时的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含应急演练）；实验室每年开展不少于1次应急演练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实验室安全管理人员、实验人员完成不少于4学时的准入安全培训，之后每年根据学校实际需要安排适量的</w:t>
            </w:r>
            <w:r>
              <w:rPr>
                <w:rFonts w:eastAsia="仿宋_GB2312" w:cs="Times New Roman"/>
                <w:szCs w:val="24"/>
              </w:rPr>
              <w:t>安全培训（</w:t>
            </w:r>
            <w:r>
              <w:rPr>
                <w:rFonts w:hint="eastAsia" w:eastAsia="仿宋_GB2312" w:cs="Times New Roman"/>
                <w:szCs w:val="24"/>
              </w:rPr>
              <w:t>以上均</w:t>
            </w:r>
            <w:r>
              <w:rPr>
                <w:rFonts w:eastAsia="仿宋_GB2312" w:cs="Times New Roman"/>
                <w:szCs w:val="24"/>
              </w:rPr>
              <w:t>含应急演练）；每年开展不少于1次应急演练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安全评估</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hint="eastAsia" w:eastAsia="仿宋_GB2312" w:cs="Times New Roman"/>
                <w:szCs w:val="24"/>
              </w:rPr>
              <w:t>；每年开展不少于1次针对重要危险源的应急演练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科研项目、学生课题等实验活动应进行安全风险评估；涉及重要危险源的实验活动应在二级单位备案，学校不定期抽查；</w:t>
            </w:r>
            <w:r>
              <w:rPr>
                <w:rFonts w:eastAsia="仿宋_GB2312" w:cs="Times New Roman"/>
                <w:szCs w:val="24"/>
              </w:rPr>
              <w:t>针对重要危险源制定相应的管理办法和应急措施，责任到人</w:t>
            </w:r>
            <w:r>
              <w:rPr>
                <w:rFonts w:hint="eastAsia" w:eastAsia="仿宋_GB2312" w:cs="Times New Roman"/>
                <w:szCs w:val="24"/>
              </w:rPr>
              <w:t>；每年开展不少于1次针对重要危险源的应急演练</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科研项目、学生课题等实验活动应进行安全风险评估；涉及重要危险源的实验活动应在二级单位备案，二级单位不定期抽查；二级单位判断如有必要，可临时按更高等级实验室安全要求进行管理</w:t>
            </w:r>
          </w:p>
        </w:tc>
        <w:tc>
          <w:tcPr>
            <w:tcW w:w="2948" w:type="dxa"/>
            <w:vAlign w:val="center"/>
          </w:tcPr>
          <w:p>
            <w:pPr>
              <w:spacing w:line="400" w:lineRule="exact"/>
              <w:ind w:firstLine="0" w:firstLineChars="0"/>
              <w:rPr>
                <w:rFonts w:eastAsia="仿宋_GB2312" w:cs="Times New Roman"/>
                <w:szCs w:val="24"/>
              </w:rPr>
            </w:pPr>
            <w:r>
              <w:rPr>
                <w:rFonts w:hint="eastAsia" w:eastAsia="仿宋_GB2312" w:cs="Times New Roman"/>
                <w:szCs w:val="24"/>
              </w:rPr>
              <w:t>科研项目、学生课题等实验活动应进行安全风险评估；涉及重要危险源的实验活动应在二级单位备案，二级单位不定期抽查；二级单位判断如有必要，可临时按更高等级实验室安全要求进行管理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9" w:hRule="atLeast"/>
        </w:trPr>
        <w:tc>
          <w:tcPr>
            <w:tcW w:w="1221" w:type="dxa"/>
            <w:vAlign w:val="center"/>
          </w:tcPr>
          <w:p>
            <w:pPr>
              <w:spacing w:line="400" w:lineRule="exact"/>
              <w:ind w:firstLine="0" w:firstLineChars="0"/>
              <w:jc w:val="center"/>
              <w:rPr>
                <w:rFonts w:ascii="楷体" w:hAnsi="楷体" w:eastAsia="楷体" w:cs="楷体"/>
                <w:szCs w:val="24"/>
              </w:rPr>
            </w:pPr>
            <w:r>
              <w:rPr>
                <w:rFonts w:hint="eastAsia" w:ascii="楷体" w:hAnsi="楷体" w:eastAsia="楷体" w:cs="楷体"/>
                <w:szCs w:val="24"/>
              </w:rPr>
              <w:t>条件保障</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hint="eastAsia" w:eastAsia="仿宋_GB2312" w:cs="Times New Roman"/>
                <w:szCs w:val="24"/>
              </w:rPr>
              <w:t>充足的</w:t>
            </w:r>
            <w:r>
              <w:rPr>
                <w:rFonts w:eastAsia="仿宋_GB2312" w:cs="Times New Roman"/>
                <w:szCs w:val="24"/>
              </w:rPr>
              <w:t>专职实验室安全管理人员；配备必要的个体防护设备设施</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高风险点位安装监控和必要的监测报警装置；危化品等重要危险源存储严格执行治安管控或其他部门监管要求；配备</w:t>
            </w:r>
            <w:r>
              <w:rPr>
                <w:rFonts w:hint="eastAsia" w:eastAsia="仿宋_GB2312" w:cs="Times New Roman"/>
                <w:szCs w:val="24"/>
              </w:rPr>
              <w:t>充足的</w:t>
            </w:r>
            <w:r>
              <w:rPr>
                <w:rFonts w:eastAsia="仿宋_GB2312" w:cs="Times New Roman"/>
                <w:szCs w:val="24"/>
              </w:rPr>
              <w:t>专职实验室安全管理人员；配备必要的个体防护设备设施</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在重要风险点位安装监控和必要的监测报警装置；配备</w:t>
            </w:r>
            <w:r>
              <w:rPr>
                <w:rFonts w:hint="eastAsia" w:eastAsia="仿宋_GB2312" w:cs="Times New Roman"/>
                <w:szCs w:val="24"/>
              </w:rPr>
              <w:t>充足的</w:t>
            </w:r>
            <w:r>
              <w:rPr>
                <w:rFonts w:eastAsia="仿宋_GB2312" w:cs="Times New Roman"/>
                <w:szCs w:val="24"/>
              </w:rPr>
              <w:t>兼职实验室安全管理人员；配备必要的个体防护设备设施</w:t>
            </w:r>
          </w:p>
        </w:tc>
        <w:tc>
          <w:tcPr>
            <w:tcW w:w="2948" w:type="dxa"/>
            <w:vAlign w:val="center"/>
          </w:tcPr>
          <w:p>
            <w:pPr>
              <w:spacing w:line="400" w:lineRule="exact"/>
              <w:ind w:firstLine="0" w:firstLineChars="0"/>
              <w:rPr>
                <w:rFonts w:eastAsia="仿宋_GB2312" w:cs="Times New Roman"/>
                <w:szCs w:val="24"/>
              </w:rPr>
            </w:pPr>
            <w:r>
              <w:rPr>
                <w:rFonts w:eastAsia="仿宋_GB2312" w:cs="Times New Roman"/>
                <w:szCs w:val="24"/>
              </w:rPr>
              <w:t>配备</w:t>
            </w:r>
            <w:r>
              <w:rPr>
                <w:rFonts w:hint="eastAsia" w:eastAsia="仿宋_GB2312" w:cs="Times New Roman"/>
                <w:szCs w:val="24"/>
              </w:rPr>
              <w:t>必要的</w:t>
            </w:r>
            <w:r>
              <w:rPr>
                <w:rFonts w:eastAsia="仿宋_GB2312" w:cs="Times New Roman"/>
                <w:szCs w:val="24"/>
              </w:rPr>
              <w:t>兼职实验室安全管理人员；配备必要的个体防护设备设施</w:t>
            </w:r>
          </w:p>
        </w:tc>
      </w:tr>
    </w:tbl>
    <w:p>
      <w:pPr>
        <w:spacing w:line="560" w:lineRule="exact"/>
        <w:ind w:firstLine="0" w:firstLineChars="0"/>
        <w:rPr>
          <w:rFonts w:eastAsia="仿宋_GB2312" w:cs="Times New Roman"/>
          <w:sz w:val="32"/>
          <w:szCs w:val="32"/>
        </w:rPr>
      </w:pPr>
    </w:p>
    <w:sectPr>
      <w:footerReference r:id="rId11" w:type="default"/>
      <w:pgSz w:w="16840" w:h="11900" w:orient="landscape"/>
      <w:pgMar w:top="1134" w:right="1701" w:bottom="1134" w:left="1701" w:header="567" w:footer="1134" w:gutter="0"/>
      <w:pgNumType w:start="12"/>
      <w:cols w:space="425" w:num="1"/>
      <w:docGrid w:type="linesAndChars" w:linePitch="42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47625</wp:posOffset>
              </wp:positionV>
              <wp:extent cx="717550" cy="38163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0" w:firstLineChars="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75pt;height:30.05pt;width:56.5pt;mso-position-horizontal:outside;mso-position-horizontal-relative:margin;z-index:251659264;mso-width-relative:page;mso-height-relative:page;" filled="f" stroked="f" coordsize="21600,21600" o:gfxdata="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tTzzUAAAABQEAAA8AAAAAAAAAAQAgAAAAIgAAAGRycy9kb3ducmV2LnhtbFBLAQIU&#10;ABQAAAAIAIdO4kBnIqGNMAIAAFUEAAAOAAAAAAAAAAEAIAAAACMBAABkcnMvZTJvRG9jLnhtbFBL&#10;BQYAAAAABgAGAFkBAADFBQAAAAA=&#10;">
              <v:fill on="f" focussize="0,0"/>
              <v:stroke on="f" weight="0.5pt"/>
              <v:imagedata o:title=""/>
              <o:lock v:ext="edit" aspectratio="f"/>
              <v:textbox inset="0mm,0mm,0mm,0mm">
                <w:txbxContent>
                  <w:p>
                    <w:pPr>
                      <w:pStyle w:val="8"/>
                      <w:ind w:firstLine="0" w:firstLineChars="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0" w:firstLineChars="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47625</wp:posOffset>
              </wp:positionV>
              <wp:extent cx="717550" cy="38163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7550" cy="3816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firstLine="0" w:firstLineChars="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rFonts w:hint="eastAsia"/>
                              <w:sz w:val="28"/>
                              <w:szCs w:val="28"/>
                            </w:rPr>
                            <w:t xml:space="preserve"> —</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3.75pt;height:30.05pt;width:56.5pt;mso-position-horizontal:center;mso-position-horizontal-relative:margin;z-index:251660288;mso-width-relative:page;mso-height-relative:page;" filled="f" stroked="f" coordsize="21600,21600" o:gfxdata="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tTzzUAAAABQEAAA8AAAAAAAAAAQAgAAAAIgAAAGRycy9kb3ducmV2LnhtbFBLAQIU&#10;ABQAAAAIAIdO4kDulCPOMAIAAFUEAAAOAAAAAAAAAAEAIAAAACMBAABkcnMvZTJvRG9jLnhtbFBL&#10;BQYAAAAABgAGAFkBAADFBQAAAAA=&#10;">
              <v:fill on="f" focussize="0,0"/>
              <v:stroke on="f" weight="0.5pt"/>
              <v:imagedata o:title=""/>
              <o:lock v:ext="edit" aspectratio="f"/>
              <v:textbox inset="0mm,0mm,0mm,0mm">
                <w:txbxContent>
                  <w:p>
                    <w:pPr>
                      <w:pStyle w:val="8"/>
                      <w:ind w:firstLine="0" w:firstLineChars="0"/>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14</w:t>
                    </w:r>
                    <w:r>
                      <w:rPr>
                        <w:sz w:val="28"/>
                        <w:szCs w:val="28"/>
                      </w:rPr>
                      <w:fldChar w:fldCharType="end"/>
                    </w:r>
                    <w:r>
                      <w:rPr>
                        <w:rFonts w:hint="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C17AB3"/>
    <w:multiLevelType w:val="singleLevel"/>
    <w:tmpl w:val="E8C17AB3"/>
    <w:lvl w:ilvl="0" w:tentative="0">
      <w:start w:val="1"/>
      <w:numFmt w:val="decimal"/>
      <w:suff w:val="nothing"/>
      <w:lvlText w:val="（%1）"/>
      <w:lvlJc w:val="left"/>
    </w:lvl>
  </w:abstractNum>
  <w:abstractNum w:abstractNumId="1">
    <w:nsid w:val="1E00253F"/>
    <w:multiLevelType w:val="multilevel"/>
    <w:tmpl w:val="1E00253F"/>
    <w:lvl w:ilvl="0" w:tentative="0">
      <w:start w:val="1"/>
      <w:numFmt w:val="decimal"/>
      <w:lvlText w:val="（%1）"/>
      <w:lvlJc w:val="left"/>
      <w:pPr>
        <w:ind w:left="720" w:hanging="720"/>
      </w:pPr>
      <w:rPr>
        <w:rFonts w:hint="default"/>
        <w:lang w:val="en-U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34F83913"/>
    <w:multiLevelType w:val="multilevel"/>
    <w:tmpl w:val="34F83913"/>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6A2300E8"/>
    <w:multiLevelType w:val="multilevel"/>
    <w:tmpl w:val="6A2300E8"/>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B1E2370"/>
    <w:multiLevelType w:val="multilevel"/>
    <w:tmpl w:val="6B1E2370"/>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11A52BB"/>
    <w:multiLevelType w:val="multilevel"/>
    <w:tmpl w:val="711A52B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759B018B"/>
    <w:multiLevelType w:val="multilevel"/>
    <w:tmpl w:val="759B018B"/>
    <w:lvl w:ilvl="0" w:tentative="0">
      <w:start w:val="1"/>
      <w:numFmt w:val="decimal"/>
      <w:lvlText w:val="（%1）"/>
      <w:lvlJc w:val="left"/>
      <w:pPr>
        <w:ind w:left="720" w:hanging="7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5"/>
  </w:num>
  <w:num w:numId="2">
    <w:abstractNumId w:val="4"/>
  </w:num>
  <w:num w:numId="3">
    <w:abstractNumId w:val="1"/>
  </w:num>
  <w:num w:numId="4">
    <w:abstractNumId w:val="2"/>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20"/>
  <w:drawingGridVerticalSpacing w:val="423"/>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5ZjExZTdiYTNjN2NiYjVkMzkwMDlkYzc4NzE2NDkifQ=="/>
    <w:docVar w:name="KSO_WPS_MARK_KEY" w:val="34cdb54a-c074-42a7-8ce9-3776cc48ed67"/>
  </w:docVars>
  <w:rsids>
    <w:rsidRoot w:val="00172A27"/>
    <w:rsid w:val="00000B92"/>
    <w:rsid w:val="000018C8"/>
    <w:rsid w:val="00004CA2"/>
    <w:rsid w:val="00007B02"/>
    <w:rsid w:val="00031EA3"/>
    <w:rsid w:val="000352F8"/>
    <w:rsid w:val="00037793"/>
    <w:rsid w:val="00054B8E"/>
    <w:rsid w:val="00055D95"/>
    <w:rsid w:val="000576F1"/>
    <w:rsid w:val="0006220B"/>
    <w:rsid w:val="00065B51"/>
    <w:rsid w:val="0006693D"/>
    <w:rsid w:val="000906AE"/>
    <w:rsid w:val="00091AF1"/>
    <w:rsid w:val="00092C85"/>
    <w:rsid w:val="00096257"/>
    <w:rsid w:val="000B3CD1"/>
    <w:rsid w:val="000B537E"/>
    <w:rsid w:val="000F1459"/>
    <w:rsid w:val="000F18AE"/>
    <w:rsid w:val="00104C39"/>
    <w:rsid w:val="001075AC"/>
    <w:rsid w:val="00110C08"/>
    <w:rsid w:val="0012335A"/>
    <w:rsid w:val="00123AFD"/>
    <w:rsid w:val="0013411F"/>
    <w:rsid w:val="00163BAB"/>
    <w:rsid w:val="001652C7"/>
    <w:rsid w:val="001669D4"/>
    <w:rsid w:val="001702C5"/>
    <w:rsid w:val="00171CE7"/>
    <w:rsid w:val="00172A27"/>
    <w:rsid w:val="0017502B"/>
    <w:rsid w:val="00184D25"/>
    <w:rsid w:val="00191828"/>
    <w:rsid w:val="001A0BC6"/>
    <w:rsid w:val="001A2E65"/>
    <w:rsid w:val="001A3267"/>
    <w:rsid w:val="001A3967"/>
    <w:rsid w:val="001C69A4"/>
    <w:rsid w:val="001E5847"/>
    <w:rsid w:val="001F495C"/>
    <w:rsid w:val="00201213"/>
    <w:rsid w:val="00207FDE"/>
    <w:rsid w:val="00236726"/>
    <w:rsid w:val="00243D75"/>
    <w:rsid w:val="00243DC8"/>
    <w:rsid w:val="002457AE"/>
    <w:rsid w:val="00252F91"/>
    <w:rsid w:val="00262CE8"/>
    <w:rsid w:val="00285EB4"/>
    <w:rsid w:val="00286A3D"/>
    <w:rsid w:val="00291592"/>
    <w:rsid w:val="002C0D33"/>
    <w:rsid w:val="002C5B3D"/>
    <w:rsid w:val="002C7760"/>
    <w:rsid w:val="002E0B24"/>
    <w:rsid w:val="002E2F90"/>
    <w:rsid w:val="002E55E0"/>
    <w:rsid w:val="002F2FAC"/>
    <w:rsid w:val="002F658F"/>
    <w:rsid w:val="003025C2"/>
    <w:rsid w:val="00302B40"/>
    <w:rsid w:val="00303B70"/>
    <w:rsid w:val="0030467C"/>
    <w:rsid w:val="00305D4F"/>
    <w:rsid w:val="00340D4C"/>
    <w:rsid w:val="003418C8"/>
    <w:rsid w:val="00383246"/>
    <w:rsid w:val="003845D2"/>
    <w:rsid w:val="003A4E73"/>
    <w:rsid w:val="003A6E91"/>
    <w:rsid w:val="003A7219"/>
    <w:rsid w:val="003B2B01"/>
    <w:rsid w:val="003B491E"/>
    <w:rsid w:val="003B5F9D"/>
    <w:rsid w:val="003C04CB"/>
    <w:rsid w:val="003C13B3"/>
    <w:rsid w:val="003C1C0E"/>
    <w:rsid w:val="003D2CA0"/>
    <w:rsid w:val="003D3111"/>
    <w:rsid w:val="003D66AA"/>
    <w:rsid w:val="003F27F3"/>
    <w:rsid w:val="003F39A8"/>
    <w:rsid w:val="003F4EC8"/>
    <w:rsid w:val="00402317"/>
    <w:rsid w:val="00403223"/>
    <w:rsid w:val="00414F05"/>
    <w:rsid w:val="0042172B"/>
    <w:rsid w:val="004367C3"/>
    <w:rsid w:val="00441BD6"/>
    <w:rsid w:val="00450723"/>
    <w:rsid w:val="00454B46"/>
    <w:rsid w:val="00454CAC"/>
    <w:rsid w:val="00456EA0"/>
    <w:rsid w:val="004629D7"/>
    <w:rsid w:val="00466C53"/>
    <w:rsid w:val="00470E49"/>
    <w:rsid w:val="00475D86"/>
    <w:rsid w:val="004769A8"/>
    <w:rsid w:val="00491374"/>
    <w:rsid w:val="0049674C"/>
    <w:rsid w:val="004A0F04"/>
    <w:rsid w:val="004A33F7"/>
    <w:rsid w:val="004B00BB"/>
    <w:rsid w:val="004B23BC"/>
    <w:rsid w:val="004D2AD9"/>
    <w:rsid w:val="004D420E"/>
    <w:rsid w:val="004F0015"/>
    <w:rsid w:val="004F6897"/>
    <w:rsid w:val="004F6E98"/>
    <w:rsid w:val="0050299D"/>
    <w:rsid w:val="00507CCF"/>
    <w:rsid w:val="00525803"/>
    <w:rsid w:val="00530265"/>
    <w:rsid w:val="00533776"/>
    <w:rsid w:val="00533C34"/>
    <w:rsid w:val="00535C26"/>
    <w:rsid w:val="005365D8"/>
    <w:rsid w:val="00540525"/>
    <w:rsid w:val="0055151C"/>
    <w:rsid w:val="00551A3E"/>
    <w:rsid w:val="005529C6"/>
    <w:rsid w:val="005645C2"/>
    <w:rsid w:val="00566F7A"/>
    <w:rsid w:val="00571CE6"/>
    <w:rsid w:val="0057753D"/>
    <w:rsid w:val="00583AA0"/>
    <w:rsid w:val="00591041"/>
    <w:rsid w:val="00591CFA"/>
    <w:rsid w:val="005A279C"/>
    <w:rsid w:val="005D115E"/>
    <w:rsid w:val="005E0CB0"/>
    <w:rsid w:val="005E6F96"/>
    <w:rsid w:val="005F1451"/>
    <w:rsid w:val="005F2EB5"/>
    <w:rsid w:val="005F4AB3"/>
    <w:rsid w:val="0060461B"/>
    <w:rsid w:val="006202B8"/>
    <w:rsid w:val="006305FF"/>
    <w:rsid w:val="00633EEF"/>
    <w:rsid w:val="006350E6"/>
    <w:rsid w:val="00650B1D"/>
    <w:rsid w:val="006539CE"/>
    <w:rsid w:val="00660A40"/>
    <w:rsid w:val="00661FBC"/>
    <w:rsid w:val="00662B88"/>
    <w:rsid w:val="00676627"/>
    <w:rsid w:val="006775CD"/>
    <w:rsid w:val="00684E8F"/>
    <w:rsid w:val="00685AB1"/>
    <w:rsid w:val="00685FC6"/>
    <w:rsid w:val="00694115"/>
    <w:rsid w:val="00694316"/>
    <w:rsid w:val="00697646"/>
    <w:rsid w:val="006A3B22"/>
    <w:rsid w:val="006A742D"/>
    <w:rsid w:val="006B3202"/>
    <w:rsid w:val="006B7FD4"/>
    <w:rsid w:val="006D5393"/>
    <w:rsid w:val="006D652D"/>
    <w:rsid w:val="006F1C75"/>
    <w:rsid w:val="006F454F"/>
    <w:rsid w:val="006F5CFA"/>
    <w:rsid w:val="00701EA6"/>
    <w:rsid w:val="00702727"/>
    <w:rsid w:val="00716647"/>
    <w:rsid w:val="00722DF3"/>
    <w:rsid w:val="00723AE2"/>
    <w:rsid w:val="0073325C"/>
    <w:rsid w:val="00741667"/>
    <w:rsid w:val="00747E99"/>
    <w:rsid w:val="00752043"/>
    <w:rsid w:val="00752B1A"/>
    <w:rsid w:val="007537B7"/>
    <w:rsid w:val="00754D2A"/>
    <w:rsid w:val="00754D59"/>
    <w:rsid w:val="00756DEB"/>
    <w:rsid w:val="0076393C"/>
    <w:rsid w:val="00765F5D"/>
    <w:rsid w:val="007666A9"/>
    <w:rsid w:val="00783F8C"/>
    <w:rsid w:val="007B06DD"/>
    <w:rsid w:val="007B363B"/>
    <w:rsid w:val="007C1C71"/>
    <w:rsid w:val="007C4BE9"/>
    <w:rsid w:val="007C5282"/>
    <w:rsid w:val="007D3311"/>
    <w:rsid w:val="007F0D1C"/>
    <w:rsid w:val="007F2A43"/>
    <w:rsid w:val="007F3D32"/>
    <w:rsid w:val="007F5FC9"/>
    <w:rsid w:val="00800599"/>
    <w:rsid w:val="00800D60"/>
    <w:rsid w:val="00815D14"/>
    <w:rsid w:val="008237CA"/>
    <w:rsid w:val="00823C08"/>
    <w:rsid w:val="00824928"/>
    <w:rsid w:val="00826516"/>
    <w:rsid w:val="008301BF"/>
    <w:rsid w:val="00831081"/>
    <w:rsid w:val="00831C36"/>
    <w:rsid w:val="00840FD5"/>
    <w:rsid w:val="00844629"/>
    <w:rsid w:val="00852BD7"/>
    <w:rsid w:val="00857747"/>
    <w:rsid w:val="0086504C"/>
    <w:rsid w:val="008827B3"/>
    <w:rsid w:val="008865C2"/>
    <w:rsid w:val="008908C1"/>
    <w:rsid w:val="00890AE2"/>
    <w:rsid w:val="00891137"/>
    <w:rsid w:val="00891BB2"/>
    <w:rsid w:val="008A360E"/>
    <w:rsid w:val="008A5A9B"/>
    <w:rsid w:val="008A7170"/>
    <w:rsid w:val="008B1887"/>
    <w:rsid w:val="008B2EE9"/>
    <w:rsid w:val="008B7583"/>
    <w:rsid w:val="008C08E4"/>
    <w:rsid w:val="008C2C0C"/>
    <w:rsid w:val="008E46C3"/>
    <w:rsid w:val="008E50FE"/>
    <w:rsid w:val="008F180B"/>
    <w:rsid w:val="008F61D2"/>
    <w:rsid w:val="008F664C"/>
    <w:rsid w:val="00906943"/>
    <w:rsid w:val="00910295"/>
    <w:rsid w:val="00910786"/>
    <w:rsid w:val="00923A1F"/>
    <w:rsid w:val="0094238C"/>
    <w:rsid w:val="0096100B"/>
    <w:rsid w:val="009613D0"/>
    <w:rsid w:val="009677B2"/>
    <w:rsid w:val="00970D74"/>
    <w:rsid w:val="00972C15"/>
    <w:rsid w:val="00973424"/>
    <w:rsid w:val="00975761"/>
    <w:rsid w:val="00975B67"/>
    <w:rsid w:val="009879A2"/>
    <w:rsid w:val="00990FC6"/>
    <w:rsid w:val="009A3A27"/>
    <w:rsid w:val="009A62C9"/>
    <w:rsid w:val="009A7D00"/>
    <w:rsid w:val="009B12A1"/>
    <w:rsid w:val="009B1A7E"/>
    <w:rsid w:val="009B26A5"/>
    <w:rsid w:val="009B758A"/>
    <w:rsid w:val="009C3A3C"/>
    <w:rsid w:val="009C6495"/>
    <w:rsid w:val="009D1855"/>
    <w:rsid w:val="009D5128"/>
    <w:rsid w:val="009D6D59"/>
    <w:rsid w:val="009E1CFA"/>
    <w:rsid w:val="00A07394"/>
    <w:rsid w:val="00A077BA"/>
    <w:rsid w:val="00A16213"/>
    <w:rsid w:val="00A20274"/>
    <w:rsid w:val="00A243B1"/>
    <w:rsid w:val="00A43075"/>
    <w:rsid w:val="00A476FA"/>
    <w:rsid w:val="00A53B5B"/>
    <w:rsid w:val="00A5792F"/>
    <w:rsid w:val="00A615C8"/>
    <w:rsid w:val="00A70E11"/>
    <w:rsid w:val="00A91FE6"/>
    <w:rsid w:val="00A95A16"/>
    <w:rsid w:val="00A97B0F"/>
    <w:rsid w:val="00AA242D"/>
    <w:rsid w:val="00AA6FEA"/>
    <w:rsid w:val="00AB3127"/>
    <w:rsid w:val="00AC041B"/>
    <w:rsid w:val="00AC1A90"/>
    <w:rsid w:val="00AD30F3"/>
    <w:rsid w:val="00AD762C"/>
    <w:rsid w:val="00AE39BE"/>
    <w:rsid w:val="00AE46FE"/>
    <w:rsid w:val="00AE49F4"/>
    <w:rsid w:val="00AF07F8"/>
    <w:rsid w:val="00AF7F79"/>
    <w:rsid w:val="00B000EC"/>
    <w:rsid w:val="00B01CEB"/>
    <w:rsid w:val="00B06149"/>
    <w:rsid w:val="00B1126A"/>
    <w:rsid w:val="00B15B75"/>
    <w:rsid w:val="00B2022B"/>
    <w:rsid w:val="00B204E4"/>
    <w:rsid w:val="00B22591"/>
    <w:rsid w:val="00B229DB"/>
    <w:rsid w:val="00B369A7"/>
    <w:rsid w:val="00B53700"/>
    <w:rsid w:val="00B53BBC"/>
    <w:rsid w:val="00B67E5A"/>
    <w:rsid w:val="00B71AC4"/>
    <w:rsid w:val="00B93F2F"/>
    <w:rsid w:val="00BA453C"/>
    <w:rsid w:val="00BA6733"/>
    <w:rsid w:val="00BB2C03"/>
    <w:rsid w:val="00BC3428"/>
    <w:rsid w:val="00BC672B"/>
    <w:rsid w:val="00BD0466"/>
    <w:rsid w:val="00BD1986"/>
    <w:rsid w:val="00BD729C"/>
    <w:rsid w:val="00BE41E2"/>
    <w:rsid w:val="00BE43C1"/>
    <w:rsid w:val="00BE4AB0"/>
    <w:rsid w:val="00BE5F29"/>
    <w:rsid w:val="00C02D0D"/>
    <w:rsid w:val="00C104C5"/>
    <w:rsid w:val="00C12EAB"/>
    <w:rsid w:val="00C139D5"/>
    <w:rsid w:val="00C15222"/>
    <w:rsid w:val="00C21D3B"/>
    <w:rsid w:val="00C22427"/>
    <w:rsid w:val="00C22E0F"/>
    <w:rsid w:val="00C2569C"/>
    <w:rsid w:val="00C27F02"/>
    <w:rsid w:val="00C30DD9"/>
    <w:rsid w:val="00C40107"/>
    <w:rsid w:val="00C43A2B"/>
    <w:rsid w:val="00C50526"/>
    <w:rsid w:val="00C53E43"/>
    <w:rsid w:val="00C83A24"/>
    <w:rsid w:val="00C91979"/>
    <w:rsid w:val="00C95516"/>
    <w:rsid w:val="00CA60E7"/>
    <w:rsid w:val="00CA64EC"/>
    <w:rsid w:val="00CB568C"/>
    <w:rsid w:val="00CC040B"/>
    <w:rsid w:val="00CD0C7F"/>
    <w:rsid w:val="00CD4FA3"/>
    <w:rsid w:val="00CD62F5"/>
    <w:rsid w:val="00D004A9"/>
    <w:rsid w:val="00D028E2"/>
    <w:rsid w:val="00D10C7A"/>
    <w:rsid w:val="00D20A23"/>
    <w:rsid w:val="00D22401"/>
    <w:rsid w:val="00D347EC"/>
    <w:rsid w:val="00D43E43"/>
    <w:rsid w:val="00D63ED7"/>
    <w:rsid w:val="00D65219"/>
    <w:rsid w:val="00D66403"/>
    <w:rsid w:val="00D714CB"/>
    <w:rsid w:val="00D71E36"/>
    <w:rsid w:val="00D735A7"/>
    <w:rsid w:val="00D76C31"/>
    <w:rsid w:val="00D84E2E"/>
    <w:rsid w:val="00DA1783"/>
    <w:rsid w:val="00DA3D23"/>
    <w:rsid w:val="00DA7462"/>
    <w:rsid w:val="00DB0264"/>
    <w:rsid w:val="00DB133D"/>
    <w:rsid w:val="00DB4C89"/>
    <w:rsid w:val="00DC0F6F"/>
    <w:rsid w:val="00DC4F0E"/>
    <w:rsid w:val="00DD61D0"/>
    <w:rsid w:val="00DD6B14"/>
    <w:rsid w:val="00DE0593"/>
    <w:rsid w:val="00DF590C"/>
    <w:rsid w:val="00E00823"/>
    <w:rsid w:val="00E00F78"/>
    <w:rsid w:val="00E01A9D"/>
    <w:rsid w:val="00E16285"/>
    <w:rsid w:val="00E2367D"/>
    <w:rsid w:val="00E33CB5"/>
    <w:rsid w:val="00E402ED"/>
    <w:rsid w:val="00E466D3"/>
    <w:rsid w:val="00E568E7"/>
    <w:rsid w:val="00E57152"/>
    <w:rsid w:val="00E62910"/>
    <w:rsid w:val="00E9002B"/>
    <w:rsid w:val="00E93334"/>
    <w:rsid w:val="00E95673"/>
    <w:rsid w:val="00E97F49"/>
    <w:rsid w:val="00EA41DC"/>
    <w:rsid w:val="00EA451B"/>
    <w:rsid w:val="00EB1327"/>
    <w:rsid w:val="00EB25F3"/>
    <w:rsid w:val="00EB7F16"/>
    <w:rsid w:val="00ED1FDB"/>
    <w:rsid w:val="00ED3C12"/>
    <w:rsid w:val="00ED5945"/>
    <w:rsid w:val="00ED66A7"/>
    <w:rsid w:val="00EE7C67"/>
    <w:rsid w:val="00EF30A9"/>
    <w:rsid w:val="00EF37D2"/>
    <w:rsid w:val="00EF7BCE"/>
    <w:rsid w:val="00F26036"/>
    <w:rsid w:val="00F31113"/>
    <w:rsid w:val="00F46342"/>
    <w:rsid w:val="00F764CF"/>
    <w:rsid w:val="00F8149D"/>
    <w:rsid w:val="00F824AB"/>
    <w:rsid w:val="00F944B7"/>
    <w:rsid w:val="00F96FF8"/>
    <w:rsid w:val="00FA0145"/>
    <w:rsid w:val="00FA058F"/>
    <w:rsid w:val="00FA313D"/>
    <w:rsid w:val="00FA4EDB"/>
    <w:rsid w:val="00FA79A4"/>
    <w:rsid w:val="00FB2479"/>
    <w:rsid w:val="00FC0B92"/>
    <w:rsid w:val="00FC7C63"/>
    <w:rsid w:val="00FF6B91"/>
    <w:rsid w:val="010A2169"/>
    <w:rsid w:val="01522315"/>
    <w:rsid w:val="01934415"/>
    <w:rsid w:val="0231074F"/>
    <w:rsid w:val="02372EAB"/>
    <w:rsid w:val="02814DBA"/>
    <w:rsid w:val="028E41AC"/>
    <w:rsid w:val="02C40969"/>
    <w:rsid w:val="02FD423D"/>
    <w:rsid w:val="037B3BCB"/>
    <w:rsid w:val="047A39D5"/>
    <w:rsid w:val="04B21A43"/>
    <w:rsid w:val="059648AF"/>
    <w:rsid w:val="05990BFB"/>
    <w:rsid w:val="05F67F28"/>
    <w:rsid w:val="06085109"/>
    <w:rsid w:val="06584C7B"/>
    <w:rsid w:val="06771F57"/>
    <w:rsid w:val="06840E03"/>
    <w:rsid w:val="06A27FAC"/>
    <w:rsid w:val="06E25862"/>
    <w:rsid w:val="06E46C11"/>
    <w:rsid w:val="07573AF9"/>
    <w:rsid w:val="07E31891"/>
    <w:rsid w:val="07FA2D7A"/>
    <w:rsid w:val="08135F0E"/>
    <w:rsid w:val="082D75A0"/>
    <w:rsid w:val="085D3B06"/>
    <w:rsid w:val="088970C6"/>
    <w:rsid w:val="088A4F5C"/>
    <w:rsid w:val="08956BB2"/>
    <w:rsid w:val="0A2148F3"/>
    <w:rsid w:val="0A374116"/>
    <w:rsid w:val="0AD23916"/>
    <w:rsid w:val="0B2D4ECE"/>
    <w:rsid w:val="0B35399D"/>
    <w:rsid w:val="0B4E03D9"/>
    <w:rsid w:val="0B5A00BC"/>
    <w:rsid w:val="0B771008"/>
    <w:rsid w:val="0B8F3298"/>
    <w:rsid w:val="0BC2524F"/>
    <w:rsid w:val="0BCB4555"/>
    <w:rsid w:val="0C362BC1"/>
    <w:rsid w:val="0C591439"/>
    <w:rsid w:val="0D5D1E8C"/>
    <w:rsid w:val="0DD04666"/>
    <w:rsid w:val="0DF04D08"/>
    <w:rsid w:val="0E384AA4"/>
    <w:rsid w:val="0E764C4E"/>
    <w:rsid w:val="0E9F4E98"/>
    <w:rsid w:val="0EB7423E"/>
    <w:rsid w:val="0F380715"/>
    <w:rsid w:val="101E670C"/>
    <w:rsid w:val="1029627E"/>
    <w:rsid w:val="10351DAB"/>
    <w:rsid w:val="103920DC"/>
    <w:rsid w:val="105F015B"/>
    <w:rsid w:val="105F12C2"/>
    <w:rsid w:val="108A4866"/>
    <w:rsid w:val="109201E2"/>
    <w:rsid w:val="110C10AD"/>
    <w:rsid w:val="121164A4"/>
    <w:rsid w:val="12334081"/>
    <w:rsid w:val="12500441"/>
    <w:rsid w:val="12A746E6"/>
    <w:rsid w:val="12F26B7A"/>
    <w:rsid w:val="12F95CCF"/>
    <w:rsid w:val="1302191C"/>
    <w:rsid w:val="138959E3"/>
    <w:rsid w:val="13916645"/>
    <w:rsid w:val="14664130"/>
    <w:rsid w:val="148530C5"/>
    <w:rsid w:val="1520504B"/>
    <w:rsid w:val="153F6D84"/>
    <w:rsid w:val="154D47EE"/>
    <w:rsid w:val="15C93DA0"/>
    <w:rsid w:val="15EE5FD1"/>
    <w:rsid w:val="16190AD1"/>
    <w:rsid w:val="162274BF"/>
    <w:rsid w:val="16353C00"/>
    <w:rsid w:val="16380745"/>
    <w:rsid w:val="166E013E"/>
    <w:rsid w:val="16A00F8B"/>
    <w:rsid w:val="16B74615"/>
    <w:rsid w:val="17114775"/>
    <w:rsid w:val="1758583B"/>
    <w:rsid w:val="17731103"/>
    <w:rsid w:val="17936F4D"/>
    <w:rsid w:val="17B009C9"/>
    <w:rsid w:val="17CC63B4"/>
    <w:rsid w:val="17CF13B6"/>
    <w:rsid w:val="183C11E5"/>
    <w:rsid w:val="184C6FDF"/>
    <w:rsid w:val="188E5849"/>
    <w:rsid w:val="19235D02"/>
    <w:rsid w:val="19C618EC"/>
    <w:rsid w:val="19D03326"/>
    <w:rsid w:val="1A2C0FB5"/>
    <w:rsid w:val="1B2A5AE4"/>
    <w:rsid w:val="1B481EA2"/>
    <w:rsid w:val="1B5C7BAC"/>
    <w:rsid w:val="1B5E7755"/>
    <w:rsid w:val="1B971F0C"/>
    <w:rsid w:val="1BA432A8"/>
    <w:rsid w:val="1C281B11"/>
    <w:rsid w:val="1CDE3150"/>
    <w:rsid w:val="1D0E0D07"/>
    <w:rsid w:val="1D1F7181"/>
    <w:rsid w:val="1D2547F1"/>
    <w:rsid w:val="1D266050"/>
    <w:rsid w:val="1DC3391D"/>
    <w:rsid w:val="1DCA202E"/>
    <w:rsid w:val="1DCC59D1"/>
    <w:rsid w:val="1E0208EF"/>
    <w:rsid w:val="1EA53D15"/>
    <w:rsid w:val="1EB75070"/>
    <w:rsid w:val="1EB86B8A"/>
    <w:rsid w:val="1F0E7506"/>
    <w:rsid w:val="1F7C215B"/>
    <w:rsid w:val="1FA808F8"/>
    <w:rsid w:val="1FF97A4C"/>
    <w:rsid w:val="208059D7"/>
    <w:rsid w:val="20831D29"/>
    <w:rsid w:val="20860DAE"/>
    <w:rsid w:val="213F27E0"/>
    <w:rsid w:val="21581DF1"/>
    <w:rsid w:val="217A2AC7"/>
    <w:rsid w:val="21836134"/>
    <w:rsid w:val="218B35BD"/>
    <w:rsid w:val="219263AA"/>
    <w:rsid w:val="21C05821"/>
    <w:rsid w:val="222E2911"/>
    <w:rsid w:val="227677F5"/>
    <w:rsid w:val="23052CDA"/>
    <w:rsid w:val="23131590"/>
    <w:rsid w:val="23170081"/>
    <w:rsid w:val="23494ECF"/>
    <w:rsid w:val="238620D3"/>
    <w:rsid w:val="23B94230"/>
    <w:rsid w:val="23C22C98"/>
    <w:rsid w:val="23DD36F6"/>
    <w:rsid w:val="242F7D92"/>
    <w:rsid w:val="2444261C"/>
    <w:rsid w:val="248624B2"/>
    <w:rsid w:val="2489678F"/>
    <w:rsid w:val="24967286"/>
    <w:rsid w:val="24B30B11"/>
    <w:rsid w:val="24C43A25"/>
    <w:rsid w:val="24CC5C1F"/>
    <w:rsid w:val="24CF4041"/>
    <w:rsid w:val="25215C0D"/>
    <w:rsid w:val="254937DF"/>
    <w:rsid w:val="259C77F7"/>
    <w:rsid w:val="25B16B12"/>
    <w:rsid w:val="25D83EF7"/>
    <w:rsid w:val="2665085B"/>
    <w:rsid w:val="26D379AA"/>
    <w:rsid w:val="26E42886"/>
    <w:rsid w:val="2768544E"/>
    <w:rsid w:val="28F14C70"/>
    <w:rsid w:val="294E0E09"/>
    <w:rsid w:val="2996455E"/>
    <w:rsid w:val="29E50801"/>
    <w:rsid w:val="2A0639E1"/>
    <w:rsid w:val="2A564CF0"/>
    <w:rsid w:val="2AA15DA0"/>
    <w:rsid w:val="2ADA5069"/>
    <w:rsid w:val="2B2E75C8"/>
    <w:rsid w:val="2B353BFF"/>
    <w:rsid w:val="2C0B2FE1"/>
    <w:rsid w:val="2C104AC0"/>
    <w:rsid w:val="2C5769FA"/>
    <w:rsid w:val="2CB02AC6"/>
    <w:rsid w:val="2CDD117C"/>
    <w:rsid w:val="2D324BCA"/>
    <w:rsid w:val="2D622151"/>
    <w:rsid w:val="2DA105FB"/>
    <w:rsid w:val="2DB42800"/>
    <w:rsid w:val="2DBE7F47"/>
    <w:rsid w:val="2E1D1A18"/>
    <w:rsid w:val="2E417D64"/>
    <w:rsid w:val="2E7172D5"/>
    <w:rsid w:val="2EBA1255"/>
    <w:rsid w:val="2F0E4B96"/>
    <w:rsid w:val="2F45683C"/>
    <w:rsid w:val="2F48555A"/>
    <w:rsid w:val="2F5707D5"/>
    <w:rsid w:val="2F724FD5"/>
    <w:rsid w:val="2FB75846"/>
    <w:rsid w:val="30E450F8"/>
    <w:rsid w:val="30F537B2"/>
    <w:rsid w:val="31262903"/>
    <w:rsid w:val="313738D0"/>
    <w:rsid w:val="317A4765"/>
    <w:rsid w:val="322E543B"/>
    <w:rsid w:val="324828B1"/>
    <w:rsid w:val="325B4F8A"/>
    <w:rsid w:val="32E848CE"/>
    <w:rsid w:val="332373C0"/>
    <w:rsid w:val="33571989"/>
    <w:rsid w:val="338B4A07"/>
    <w:rsid w:val="33A5157F"/>
    <w:rsid w:val="33BB7098"/>
    <w:rsid w:val="33C125DB"/>
    <w:rsid w:val="34335667"/>
    <w:rsid w:val="34630376"/>
    <w:rsid w:val="34AF3DE3"/>
    <w:rsid w:val="350A4239"/>
    <w:rsid w:val="35294FA5"/>
    <w:rsid w:val="35657F61"/>
    <w:rsid w:val="3577128E"/>
    <w:rsid w:val="35DF4197"/>
    <w:rsid w:val="3610124B"/>
    <w:rsid w:val="36285BF5"/>
    <w:rsid w:val="36700439"/>
    <w:rsid w:val="36A37E72"/>
    <w:rsid w:val="36D36DF1"/>
    <w:rsid w:val="36FF235E"/>
    <w:rsid w:val="374F16D2"/>
    <w:rsid w:val="381B7F02"/>
    <w:rsid w:val="385D5A7C"/>
    <w:rsid w:val="386D08FE"/>
    <w:rsid w:val="38960718"/>
    <w:rsid w:val="38967FD5"/>
    <w:rsid w:val="38A46CA2"/>
    <w:rsid w:val="38D94069"/>
    <w:rsid w:val="38F60B75"/>
    <w:rsid w:val="39B76556"/>
    <w:rsid w:val="39D236E8"/>
    <w:rsid w:val="3A0A5454"/>
    <w:rsid w:val="3A5D7130"/>
    <w:rsid w:val="3AC325CA"/>
    <w:rsid w:val="3B5D312D"/>
    <w:rsid w:val="3BAC26AF"/>
    <w:rsid w:val="3BBF1287"/>
    <w:rsid w:val="3C091147"/>
    <w:rsid w:val="3D4F68C0"/>
    <w:rsid w:val="3D566301"/>
    <w:rsid w:val="3D632B27"/>
    <w:rsid w:val="3D686779"/>
    <w:rsid w:val="3DED091C"/>
    <w:rsid w:val="3ED213DB"/>
    <w:rsid w:val="40164BCF"/>
    <w:rsid w:val="402E7586"/>
    <w:rsid w:val="404C2229"/>
    <w:rsid w:val="40750B6D"/>
    <w:rsid w:val="40976DF5"/>
    <w:rsid w:val="40A765B9"/>
    <w:rsid w:val="415553F1"/>
    <w:rsid w:val="417E223F"/>
    <w:rsid w:val="41B300B6"/>
    <w:rsid w:val="41D25BC6"/>
    <w:rsid w:val="41E73D28"/>
    <w:rsid w:val="41F87F1F"/>
    <w:rsid w:val="425A02DC"/>
    <w:rsid w:val="425E2DCE"/>
    <w:rsid w:val="428A2077"/>
    <w:rsid w:val="42B2494A"/>
    <w:rsid w:val="42C13892"/>
    <w:rsid w:val="437C436D"/>
    <w:rsid w:val="437E1239"/>
    <w:rsid w:val="439A5CAB"/>
    <w:rsid w:val="43C75114"/>
    <w:rsid w:val="43D22BFF"/>
    <w:rsid w:val="43D32DEF"/>
    <w:rsid w:val="43DF14EC"/>
    <w:rsid w:val="43E874C0"/>
    <w:rsid w:val="44147E9F"/>
    <w:rsid w:val="443F7480"/>
    <w:rsid w:val="44476D7A"/>
    <w:rsid w:val="44631E0F"/>
    <w:rsid w:val="44A22E28"/>
    <w:rsid w:val="45381CFA"/>
    <w:rsid w:val="456A5861"/>
    <w:rsid w:val="456A6AE6"/>
    <w:rsid w:val="45806691"/>
    <w:rsid w:val="45A4384A"/>
    <w:rsid w:val="45FD35D1"/>
    <w:rsid w:val="462E1ACF"/>
    <w:rsid w:val="46F47A2F"/>
    <w:rsid w:val="46FF658E"/>
    <w:rsid w:val="470D4FF2"/>
    <w:rsid w:val="4722090C"/>
    <w:rsid w:val="4728376C"/>
    <w:rsid w:val="4781471C"/>
    <w:rsid w:val="47952AA8"/>
    <w:rsid w:val="47F66F93"/>
    <w:rsid w:val="481C2340"/>
    <w:rsid w:val="484F3E01"/>
    <w:rsid w:val="487B2F9F"/>
    <w:rsid w:val="4882013D"/>
    <w:rsid w:val="48A57EC2"/>
    <w:rsid w:val="48D5723A"/>
    <w:rsid w:val="49492F43"/>
    <w:rsid w:val="49601FFF"/>
    <w:rsid w:val="49875290"/>
    <w:rsid w:val="49936BBF"/>
    <w:rsid w:val="49FF29E7"/>
    <w:rsid w:val="4A1946C3"/>
    <w:rsid w:val="4A7700FB"/>
    <w:rsid w:val="4A8219F2"/>
    <w:rsid w:val="4A894D04"/>
    <w:rsid w:val="4B867297"/>
    <w:rsid w:val="4BFA22D2"/>
    <w:rsid w:val="4BFB3039"/>
    <w:rsid w:val="4C0177F9"/>
    <w:rsid w:val="4C023DD2"/>
    <w:rsid w:val="4C6F4F8D"/>
    <w:rsid w:val="4CAF2004"/>
    <w:rsid w:val="4CC52999"/>
    <w:rsid w:val="4CF65190"/>
    <w:rsid w:val="4D0A226B"/>
    <w:rsid w:val="4D5C3245"/>
    <w:rsid w:val="4D834C75"/>
    <w:rsid w:val="4D8E38E7"/>
    <w:rsid w:val="4DD20112"/>
    <w:rsid w:val="4DF4693E"/>
    <w:rsid w:val="4E0B5A93"/>
    <w:rsid w:val="4E395334"/>
    <w:rsid w:val="4EB656C6"/>
    <w:rsid w:val="4EE130BB"/>
    <w:rsid w:val="4EEA0D24"/>
    <w:rsid w:val="4EF5252C"/>
    <w:rsid w:val="4F3214F5"/>
    <w:rsid w:val="4F377912"/>
    <w:rsid w:val="4FE729D9"/>
    <w:rsid w:val="4FED2CAC"/>
    <w:rsid w:val="4FFA30B3"/>
    <w:rsid w:val="4FFD566F"/>
    <w:rsid w:val="50040D6C"/>
    <w:rsid w:val="501C315F"/>
    <w:rsid w:val="50352FCF"/>
    <w:rsid w:val="507E1724"/>
    <w:rsid w:val="50C86E43"/>
    <w:rsid w:val="50EF617E"/>
    <w:rsid w:val="51BC7DF3"/>
    <w:rsid w:val="52050633"/>
    <w:rsid w:val="52086989"/>
    <w:rsid w:val="520D544A"/>
    <w:rsid w:val="529B379B"/>
    <w:rsid w:val="52BD6C12"/>
    <w:rsid w:val="52F3415D"/>
    <w:rsid w:val="53D7344B"/>
    <w:rsid w:val="54020436"/>
    <w:rsid w:val="54025967"/>
    <w:rsid w:val="543E21F2"/>
    <w:rsid w:val="5466755E"/>
    <w:rsid w:val="54B31F33"/>
    <w:rsid w:val="54BC1D69"/>
    <w:rsid w:val="55003C35"/>
    <w:rsid w:val="55111D1D"/>
    <w:rsid w:val="554747DA"/>
    <w:rsid w:val="557B3584"/>
    <w:rsid w:val="55A107FB"/>
    <w:rsid w:val="55AD7366"/>
    <w:rsid w:val="564231F4"/>
    <w:rsid w:val="56440B41"/>
    <w:rsid w:val="566667AD"/>
    <w:rsid w:val="56775AEE"/>
    <w:rsid w:val="567E4E28"/>
    <w:rsid w:val="56813D1C"/>
    <w:rsid w:val="56CB359F"/>
    <w:rsid w:val="56CE7C55"/>
    <w:rsid w:val="56F270DD"/>
    <w:rsid w:val="56FE50A9"/>
    <w:rsid w:val="576E7398"/>
    <w:rsid w:val="57EA1090"/>
    <w:rsid w:val="582901C7"/>
    <w:rsid w:val="58CE6A98"/>
    <w:rsid w:val="58CF3F50"/>
    <w:rsid w:val="58EA22FF"/>
    <w:rsid w:val="590E45F0"/>
    <w:rsid w:val="59C75BDE"/>
    <w:rsid w:val="5A0F7891"/>
    <w:rsid w:val="5A1E5F89"/>
    <w:rsid w:val="5A236000"/>
    <w:rsid w:val="5A3E5A99"/>
    <w:rsid w:val="5ADA649B"/>
    <w:rsid w:val="5BA159E3"/>
    <w:rsid w:val="5BCA607F"/>
    <w:rsid w:val="5C0026DF"/>
    <w:rsid w:val="5C19175C"/>
    <w:rsid w:val="5C5C30C8"/>
    <w:rsid w:val="5CBA1D36"/>
    <w:rsid w:val="5CC11316"/>
    <w:rsid w:val="5CFE7E2F"/>
    <w:rsid w:val="5D157BBC"/>
    <w:rsid w:val="5D746795"/>
    <w:rsid w:val="5E273825"/>
    <w:rsid w:val="5E801979"/>
    <w:rsid w:val="5E856136"/>
    <w:rsid w:val="5ECD661E"/>
    <w:rsid w:val="5F506981"/>
    <w:rsid w:val="5FEA352A"/>
    <w:rsid w:val="603C305D"/>
    <w:rsid w:val="605E2A7F"/>
    <w:rsid w:val="60C45638"/>
    <w:rsid w:val="61422F23"/>
    <w:rsid w:val="61510C2C"/>
    <w:rsid w:val="61A909FB"/>
    <w:rsid w:val="62075309"/>
    <w:rsid w:val="62343996"/>
    <w:rsid w:val="623D6695"/>
    <w:rsid w:val="62752C1C"/>
    <w:rsid w:val="62CA3249"/>
    <w:rsid w:val="63185A08"/>
    <w:rsid w:val="632E0EC8"/>
    <w:rsid w:val="63502AA8"/>
    <w:rsid w:val="635B17DB"/>
    <w:rsid w:val="64002021"/>
    <w:rsid w:val="645B745D"/>
    <w:rsid w:val="64BD5616"/>
    <w:rsid w:val="66096445"/>
    <w:rsid w:val="663637E3"/>
    <w:rsid w:val="665D57D7"/>
    <w:rsid w:val="66877D06"/>
    <w:rsid w:val="66B3296E"/>
    <w:rsid w:val="671A30F5"/>
    <w:rsid w:val="67544001"/>
    <w:rsid w:val="675F62E3"/>
    <w:rsid w:val="67766EC3"/>
    <w:rsid w:val="67777387"/>
    <w:rsid w:val="68245CEB"/>
    <w:rsid w:val="684B7F4E"/>
    <w:rsid w:val="689B79EC"/>
    <w:rsid w:val="696857BA"/>
    <w:rsid w:val="69770E1C"/>
    <w:rsid w:val="6A173ED7"/>
    <w:rsid w:val="6A250594"/>
    <w:rsid w:val="6A2B5052"/>
    <w:rsid w:val="6AD55F8D"/>
    <w:rsid w:val="6B0E6686"/>
    <w:rsid w:val="6C6F23A3"/>
    <w:rsid w:val="6D1A412B"/>
    <w:rsid w:val="6D647B33"/>
    <w:rsid w:val="6D6D375B"/>
    <w:rsid w:val="6DD72508"/>
    <w:rsid w:val="6E15001C"/>
    <w:rsid w:val="6E197B3D"/>
    <w:rsid w:val="6E2214E9"/>
    <w:rsid w:val="6E4F591C"/>
    <w:rsid w:val="6E5576F0"/>
    <w:rsid w:val="6EF54631"/>
    <w:rsid w:val="6F27744D"/>
    <w:rsid w:val="6F357F21"/>
    <w:rsid w:val="706776FF"/>
    <w:rsid w:val="70873C7F"/>
    <w:rsid w:val="70992760"/>
    <w:rsid w:val="70A42399"/>
    <w:rsid w:val="71135346"/>
    <w:rsid w:val="716B0C44"/>
    <w:rsid w:val="71A3096B"/>
    <w:rsid w:val="71F251FE"/>
    <w:rsid w:val="71FF7E88"/>
    <w:rsid w:val="72002F61"/>
    <w:rsid w:val="72087912"/>
    <w:rsid w:val="726B735D"/>
    <w:rsid w:val="72986AD3"/>
    <w:rsid w:val="72BD182E"/>
    <w:rsid w:val="733046A8"/>
    <w:rsid w:val="734902DF"/>
    <w:rsid w:val="73B030FF"/>
    <w:rsid w:val="73FB2F08"/>
    <w:rsid w:val="7445374A"/>
    <w:rsid w:val="74A8664B"/>
    <w:rsid w:val="74B45308"/>
    <w:rsid w:val="74D62D3C"/>
    <w:rsid w:val="754A769E"/>
    <w:rsid w:val="755B7815"/>
    <w:rsid w:val="75E654AB"/>
    <w:rsid w:val="76103768"/>
    <w:rsid w:val="761E43D4"/>
    <w:rsid w:val="76346CE5"/>
    <w:rsid w:val="76474961"/>
    <w:rsid w:val="764D4EA7"/>
    <w:rsid w:val="764E6F3F"/>
    <w:rsid w:val="76664F7A"/>
    <w:rsid w:val="771D7CC1"/>
    <w:rsid w:val="7810461F"/>
    <w:rsid w:val="78400768"/>
    <w:rsid w:val="78B51818"/>
    <w:rsid w:val="790D027A"/>
    <w:rsid w:val="793B4FA0"/>
    <w:rsid w:val="79AB567A"/>
    <w:rsid w:val="7A5862B2"/>
    <w:rsid w:val="7A802114"/>
    <w:rsid w:val="7AD16771"/>
    <w:rsid w:val="7AE27FEF"/>
    <w:rsid w:val="7AEE7323"/>
    <w:rsid w:val="7B275E99"/>
    <w:rsid w:val="7BD0743D"/>
    <w:rsid w:val="7C0329C1"/>
    <w:rsid w:val="7C253B57"/>
    <w:rsid w:val="7C384F3A"/>
    <w:rsid w:val="7C5C1ED5"/>
    <w:rsid w:val="7CD50193"/>
    <w:rsid w:val="7D450C50"/>
    <w:rsid w:val="7DB54CF6"/>
    <w:rsid w:val="7E121CC4"/>
    <w:rsid w:val="7E546A98"/>
    <w:rsid w:val="7E7E75A1"/>
    <w:rsid w:val="7EA01A8C"/>
    <w:rsid w:val="7EB02B62"/>
    <w:rsid w:val="7EC65EC0"/>
    <w:rsid w:val="7ECD4408"/>
    <w:rsid w:val="7EED220A"/>
    <w:rsid w:val="7EFB522D"/>
    <w:rsid w:val="7F832E74"/>
    <w:rsid w:val="7FA02A37"/>
    <w:rsid w:val="7FC0734D"/>
    <w:rsid w:val="7FC63EBA"/>
    <w:rsid w:val="9BF78940"/>
    <w:rsid w:val="B3DFD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460" w:lineRule="exact"/>
      <w:ind w:firstLine="200" w:firstLineChars="200"/>
      <w:jc w:val="both"/>
    </w:pPr>
    <w:rPr>
      <w:rFonts w:ascii="Times New Roman" w:hAnsi="Times New Roman" w:eastAsia="仿宋" w:cstheme="minorBidi"/>
      <w:kern w:val="2"/>
      <w:sz w:val="24"/>
      <w:szCs w:val="22"/>
      <w:lang w:val="en-US" w:eastAsia="zh-CN" w:bidi="ar-SA"/>
    </w:rPr>
  </w:style>
  <w:style w:type="paragraph" w:styleId="2">
    <w:name w:val="heading 1"/>
    <w:basedOn w:val="1"/>
    <w:next w:val="1"/>
    <w:link w:val="30"/>
    <w:autoRedefine/>
    <w:qFormat/>
    <w:uiPriority w:val="9"/>
    <w:pPr>
      <w:keepNext/>
      <w:keepLines/>
      <w:spacing w:before="340" w:after="330" w:line="578" w:lineRule="atLeast"/>
      <w:outlineLvl w:val="0"/>
    </w:pPr>
    <w:rPr>
      <w:b/>
      <w:bCs/>
      <w:kern w:val="44"/>
      <w:sz w:val="32"/>
      <w:szCs w:val="44"/>
    </w:rPr>
  </w:style>
  <w:style w:type="paragraph" w:styleId="3">
    <w:name w:val="heading 2"/>
    <w:basedOn w:val="1"/>
    <w:next w:val="1"/>
    <w:link w:val="31"/>
    <w:autoRedefine/>
    <w:unhideWhenUsed/>
    <w:qFormat/>
    <w:uiPriority w:val="9"/>
    <w:pPr>
      <w:keepNext/>
      <w:keepLines/>
      <w:spacing w:before="260" w:after="260" w:line="416" w:lineRule="atLeast"/>
      <w:outlineLvl w:val="1"/>
    </w:pPr>
    <w:rPr>
      <w:rFonts w:asciiTheme="majorHAnsi" w:hAnsiTheme="majorHAnsi" w:eastAsiaTheme="majorEastAsia" w:cstheme="majorBidi"/>
      <w:b/>
      <w:bCs/>
      <w:sz w:val="32"/>
      <w:szCs w:val="32"/>
    </w:rPr>
  </w:style>
  <w:style w:type="paragraph" w:styleId="4">
    <w:name w:val="heading 3"/>
    <w:basedOn w:val="1"/>
    <w:next w:val="1"/>
    <w:link w:val="32"/>
    <w:autoRedefine/>
    <w:unhideWhenUsed/>
    <w:qFormat/>
    <w:uiPriority w:val="9"/>
    <w:pPr>
      <w:keepNext/>
      <w:keepLines/>
      <w:spacing w:before="260" w:after="260" w:line="416" w:lineRule="atLeast"/>
      <w:outlineLvl w:val="2"/>
    </w:pPr>
    <w:rPr>
      <w:b/>
      <w:bCs/>
      <w:sz w:val="32"/>
      <w:szCs w:val="32"/>
    </w:rPr>
  </w:style>
  <w:style w:type="paragraph" w:styleId="5">
    <w:name w:val="heading 4"/>
    <w:basedOn w:val="1"/>
    <w:next w:val="1"/>
    <w:link w:val="33"/>
    <w:autoRedefine/>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25"/>
    <w:autoRedefine/>
    <w:unhideWhenUsed/>
    <w:qFormat/>
    <w:uiPriority w:val="99"/>
    <w:pPr>
      <w:jc w:val="left"/>
    </w:pPr>
  </w:style>
  <w:style w:type="paragraph" w:styleId="7">
    <w:name w:val="Balloon Text"/>
    <w:basedOn w:val="1"/>
    <w:link w:val="27"/>
    <w:autoRedefine/>
    <w:semiHidden/>
    <w:unhideWhenUsed/>
    <w:qFormat/>
    <w:uiPriority w:val="99"/>
    <w:pPr>
      <w:spacing w:line="240" w:lineRule="auto"/>
    </w:pPr>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24"/>
    <w:autoRedefine/>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1">
    <w:name w:val="Title"/>
    <w:basedOn w:val="1"/>
    <w:next w:val="1"/>
    <w:link w:val="21"/>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12">
    <w:name w:val="annotation subject"/>
    <w:basedOn w:val="6"/>
    <w:next w:val="6"/>
    <w:link w:val="26"/>
    <w:autoRedefine/>
    <w:semiHidden/>
    <w:unhideWhenUsed/>
    <w:qFormat/>
    <w:uiPriority w:val="99"/>
    <w:rPr>
      <w:b/>
      <w:bCs/>
    </w:rPr>
  </w:style>
  <w:style w:type="table" w:styleId="14">
    <w:name w:val="Table Grid"/>
    <w:basedOn w:val="1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autoRedefine/>
    <w:qFormat/>
    <w:uiPriority w:val="22"/>
    <w:rPr>
      <w:b/>
      <w:bCs/>
    </w:rPr>
  </w:style>
  <w:style w:type="character" w:styleId="17">
    <w:name w:val="page number"/>
    <w:basedOn w:val="15"/>
    <w:autoRedefine/>
    <w:semiHidden/>
    <w:unhideWhenUsed/>
    <w:qFormat/>
    <w:uiPriority w:val="99"/>
  </w:style>
  <w:style w:type="character" w:styleId="18">
    <w:name w:val="Emphasis"/>
    <w:basedOn w:val="15"/>
    <w:autoRedefine/>
    <w:qFormat/>
    <w:uiPriority w:val="20"/>
    <w:rPr>
      <w:i/>
      <w:iCs/>
    </w:rPr>
  </w:style>
  <w:style w:type="character" w:styleId="19">
    <w:name w:val="annotation reference"/>
    <w:basedOn w:val="15"/>
    <w:autoRedefine/>
    <w:semiHidden/>
    <w:unhideWhenUsed/>
    <w:qFormat/>
    <w:uiPriority w:val="99"/>
    <w:rPr>
      <w:sz w:val="21"/>
      <w:szCs w:val="21"/>
    </w:rPr>
  </w:style>
  <w:style w:type="character" w:customStyle="1" w:styleId="20">
    <w:name w:val="页脚 字符"/>
    <w:basedOn w:val="15"/>
    <w:link w:val="8"/>
    <w:autoRedefine/>
    <w:qFormat/>
    <w:uiPriority w:val="99"/>
    <w:rPr>
      <w:rFonts w:ascii="Times New Roman" w:hAnsi="Times New Roman" w:eastAsia="仿宋"/>
      <w:sz w:val="18"/>
      <w:szCs w:val="18"/>
    </w:rPr>
  </w:style>
  <w:style w:type="character" w:customStyle="1" w:styleId="21">
    <w:name w:val="标题 字符"/>
    <w:basedOn w:val="15"/>
    <w:link w:val="11"/>
    <w:autoRedefine/>
    <w:qFormat/>
    <w:uiPriority w:val="10"/>
    <w:rPr>
      <w:rFonts w:asciiTheme="majorHAnsi" w:hAnsiTheme="majorHAnsi" w:eastAsiaTheme="majorEastAsia" w:cstheme="majorBidi"/>
      <w:b/>
      <w:bCs/>
      <w:sz w:val="32"/>
      <w:szCs w:val="32"/>
    </w:rPr>
  </w:style>
  <w:style w:type="paragraph" w:styleId="22">
    <w:name w:val="List Paragraph"/>
    <w:basedOn w:val="1"/>
    <w:autoRedefine/>
    <w:qFormat/>
    <w:uiPriority w:val="34"/>
    <w:pPr>
      <w:ind w:firstLine="420"/>
    </w:pPr>
  </w:style>
  <w:style w:type="character" w:customStyle="1" w:styleId="23">
    <w:name w:val="navtiao"/>
    <w:basedOn w:val="15"/>
    <w:autoRedefine/>
    <w:qFormat/>
    <w:uiPriority w:val="0"/>
  </w:style>
  <w:style w:type="character" w:customStyle="1" w:styleId="24">
    <w:name w:val="页眉 字符"/>
    <w:basedOn w:val="15"/>
    <w:link w:val="9"/>
    <w:autoRedefine/>
    <w:qFormat/>
    <w:uiPriority w:val="99"/>
    <w:rPr>
      <w:rFonts w:ascii="Times New Roman" w:hAnsi="Times New Roman" w:eastAsia="仿宋"/>
      <w:sz w:val="18"/>
      <w:szCs w:val="18"/>
    </w:rPr>
  </w:style>
  <w:style w:type="character" w:customStyle="1" w:styleId="25">
    <w:name w:val="批注文字 字符"/>
    <w:basedOn w:val="15"/>
    <w:link w:val="6"/>
    <w:autoRedefine/>
    <w:qFormat/>
    <w:uiPriority w:val="99"/>
    <w:rPr>
      <w:rFonts w:ascii="Times New Roman" w:hAnsi="Times New Roman" w:eastAsia="仿宋"/>
      <w:sz w:val="24"/>
    </w:rPr>
  </w:style>
  <w:style w:type="character" w:customStyle="1" w:styleId="26">
    <w:name w:val="批注主题 字符"/>
    <w:basedOn w:val="25"/>
    <w:link w:val="12"/>
    <w:autoRedefine/>
    <w:semiHidden/>
    <w:qFormat/>
    <w:uiPriority w:val="99"/>
    <w:rPr>
      <w:rFonts w:ascii="Times New Roman" w:hAnsi="Times New Roman" w:eastAsia="仿宋"/>
      <w:b/>
      <w:bCs/>
      <w:sz w:val="24"/>
    </w:rPr>
  </w:style>
  <w:style w:type="character" w:customStyle="1" w:styleId="27">
    <w:name w:val="批注框文本 字符"/>
    <w:basedOn w:val="15"/>
    <w:link w:val="7"/>
    <w:autoRedefine/>
    <w:semiHidden/>
    <w:qFormat/>
    <w:uiPriority w:val="99"/>
    <w:rPr>
      <w:rFonts w:ascii="Times New Roman" w:hAnsi="Times New Roman" w:eastAsia="仿宋"/>
      <w:sz w:val="18"/>
      <w:szCs w:val="18"/>
    </w:rPr>
  </w:style>
  <w:style w:type="paragraph" w:customStyle="1" w:styleId="28">
    <w:name w:val="修订1"/>
    <w:autoRedefine/>
    <w:hidden/>
    <w:semiHidden/>
    <w:qFormat/>
    <w:uiPriority w:val="99"/>
    <w:rPr>
      <w:rFonts w:ascii="Times New Roman" w:hAnsi="Times New Roman" w:eastAsia="仿宋" w:cstheme="minorBidi"/>
      <w:kern w:val="2"/>
      <w:sz w:val="24"/>
      <w:szCs w:val="22"/>
      <w:lang w:val="en-US" w:eastAsia="zh-CN" w:bidi="ar-SA"/>
    </w:rPr>
  </w:style>
  <w:style w:type="paragraph" w:styleId="29">
    <w:name w:val="No Spacing"/>
    <w:autoRedefine/>
    <w:qFormat/>
    <w:uiPriority w:val="1"/>
    <w:pPr>
      <w:widowControl w:val="0"/>
      <w:ind w:firstLine="200" w:firstLineChars="200"/>
      <w:jc w:val="both"/>
    </w:pPr>
    <w:rPr>
      <w:rFonts w:ascii="Times New Roman" w:hAnsi="Times New Roman" w:eastAsia="仿宋" w:cstheme="minorBidi"/>
      <w:kern w:val="2"/>
      <w:sz w:val="24"/>
      <w:szCs w:val="22"/>
      <w:lang w:val="en-US" w:eastAsia="zh-CN" w:bidi="ar-SA"/>
    </w:rPr>
  </w:style>
  <w:style w:type="character" w:customStyle="1" w:styleId="30">
    <w:name w:val="标题 1 字符"/>
    <w:basedOn w:val="15"/>
    <w:link w:val="2"/>
    <w:autoRedefine/>
    <w:qFormat/>
    <w:uiPriority w:val="9"/>
    <w:rPr>
      <w:rFonts w:ascii="Times New Roman" w:hAnsi="Times New Roman" w:eastAsia="仿宋"/>
      <w:b/>
      <w:bCs/>
      <w:kern w:val="44"/>
      <w:sz w:val="32"/>
      <w:szCs w:val="44"/>
    </w:rPr>
  </w:style>
  <w:style w:type="character" w:customStyle="1" w:styleId="31">
    <w:name w:val="标题 2 字符"/>
    <w:basedOn w:val="15"/>
    <w:link w:val="3"/>
    <w:autoRedefine/>
    <w:qFormat/>
    <w:uiPriority w:val="9"/>
    <w:rPr>
      <w:rFonts w:asciiTheme="majorHAnsi" w:hAnsiTheme="majorHAnsi" w:eastAsiaTheme="majorEastAsia" w:cstheme="majorBidi"/>
      <w:b/>
      <w:bCs/>
      <w:sz w:val="32"/>
      <w:szCs w:val="32"/>
    </w:rPr>
  </w:style>
  <w:style w:type="character" w:customStyle="1" w:styleId="32">
    <w:name w:val="标题 3 字符"/>
    <w:basedOn w:val="15"/>
    <w:link w:val="4"/>
    <w:autoRedefine/>
    <w:qFormat/>
    <w:uiPriority w:val="9"/>
    <w:rPr>
      <w:rFonts w:ascii="Times New Roman" w:hAnsi="Times New Roman" w:eastAsia="仿宋"/>
      <w:b/>
      <w:bCs/>
      <w:sz w:val="32"/>
      <w:szCs w:val="32"/>
    </w:rPr>
  </w:style>
  <w:style w:type="character" w:customStyle="1" w:styleId="33">
    <w:name w:val="标题 4 字符"/>
    <w:basedOn w:val="15"/>
    <w:link w:val="5"/>
    <w:autoRedefine/>
    <w:qFormat/>
    <w:uiPriority w:val="9"/>
    <w:rPr>
      <w:rFonts w:asciiTheme="majorHAnsi" w:hAnsiTheme="majorHAnsi" w:eastAsiaTheme="majorEastAsia" w:cstheme="majorBidi"/>
      <w:b/>
      <w:bCs/>
      <w:sz w:val="28"/>
      <w:szCs w:val="28"/>
    </w:rPr>
  </w:style>
  <w:style w:type="paragraph" w:customStyle="1" w:styleId="34">
    <w:name w:val="修订2"/>
    <w:autoRedefine/>
    <w:hidden/>
    <w:semiHidden/>
    <w:qFormat/>
    <w:uiPriority w:val="99"/>
    <w:rPr>
      <w:rFonts w:ascii="Times New Roman" w:hAnsi="Times New Roman" w:eastAsia="仿宋" w:cstheme="minorBidi"/>
      <w:kern w:val="2"/>
      <w:sz w:val="24"/>
      <w:szCs w:val="22"/>
      <w:lang w:val="en-US" w:eastAsia="zh-CN" w:bidi="ar-SA"/>
    </w:rPr>
  </w:style>
  <w:style w:type="paragraph" w:customStyle="1" w:styleId="35">
    <w:name w:val="修订3"/>
    <w:autoRedefine/>
    <w:hidden/>
    <w:semiHidden/>
    <w:qFormat/>
    <w:uiPriority w:val="99"/>
    <w:rPr>
      <w:rFonts w:ascii="Times New Roman" w:hAnsi="Times New Roman" w:eastAsia="仿宋" w:cstheme="minorBidi"/>
      <w:kern w:val="2"/>
      <w:sz w:val="24"/>
      <w:szCs w:val="22"/>
      <w:lang w:val="en-US" w:eastAsia="zh-CN" w:bidi="ar-SA"/>
    </w:rPr>
  </w:style>
  <w:style w:type="paragraph" w:customStyle="1" w:styleId="36">
    <w:name w:val="修订4"/>
    <w:autoRedefine/>
    <w:hidden/>
    <w:semiHidden/>
    <w:qFormat/>
    <w:uiPriority w:val="99"/>
    <w:rPr>
      <w:rFonts w:ascii="Times New Roman" w:hAnsi="Times New Roman" w:eastAsia="仿宋" w:cstheme="minorBidi"/>
      <w:kern w:val="2"/>
      <w:sz w:val="24"/>
      <w:szCs w:val="22"/>
      <w:lang w:val="en-US" w:eastAsia="zh-CN" w:bidi="ar-SA"/>
    </w:rPr>
  </w:style>
  <w:style w:type="paragraph" w:customStyle="1" w:styleId="37">
    <w:name w:val="修订5"/>
    <w:autoRedefine/>
    <w:hidden/>
    <w:semiHidden/>
    <w:qFormat/>
    <w:uiPriority w:val="99"/>
    <w:rPr>
      <w:rFonts w:ascii="Times New Roman" w:hAnsi="Times New Roman" w:eastAsia="仿宋" w:cstheme="minorBidi"/>
      <w:kern w:val="2"/>
      <w:sz w:val="24"/>
      <w:szCs w:val="22"/>
      <w:lang w:val="en-US" w:eastAsia="zh-CN" w:bidi="ar-SA"/>
    </w:rPr>
  </w:style>
  <w:style w:type="paragraph" w:customStyle="1" w:styleId="38">
    <w:name w:val="修订6"/>
    <w:autoRedefine/>
    <w:hidden/>
    <w:unhideWhenUsed/>
    <w:qFormat/>
    <w:uiPriority w:val="99"/>
    <w:rPr>
      <w:rFonts w:ascii="Times New Roman" w:hAnsi="Times New Roman" w:eastAsia="仿宋" w:cstheme="minorBidi"/>
      <w:kern w:val="2"/>
      <w:sz w:val="24"/>
      <w:szCs w:val="22"/>
      <w:lang w:val="en-US" w:eastAsia="zh-CN" w:bidi="ar-SA"/>
    </w:rPr>
  </w:style>
  <w:style w:type="paragraph" w:customStyle="1" w:styleId="39">
    <w:name w:val="修订7"/>
    <w:autoRedefine/>
    <w:hidden/>
    <w:semiHidden/>
    <w:qFormat/>
    <w:uiPriority w:val="99"/>
    <w:rPr>
      <w:rFonts w:ascii="Times New Roman" w:hAnsi="Times New Roman" w:eastAsia="仿宋" w:cstheme="minorBidi"/>
      <w:kern w:val="2"/>
      <w:sz w:val="24"/>
      <w:szCs w:val="22"/>
      <w:lang w:val="en-US" w:eastAsia="zh-CN" w:bidi="ar-SA"/>
    </w:rPr>
  </w:style>
  <w:style w:type="paragraph" w:customStyle="1" w:styleId="40">
    <w:name w:val="修订8"/>
    <w:autoRedefine/>
    <w:hidden/>
    <w:unhideWhenUsed/>
    <w:qFormat/>
    <w:uiPriority w:val="99"/>
    <w:rPr>
      <w:rFonts w:ascii="Times New Roman" w:hAnsi="Times New Roman" w:eastAsia="仿宋" w:cstheme="minorBidi"/>
      <w:kern w:val="2"/>
      <w:sz w:val="24"/>
      <w:szCs w:val="22"/>
      <w:lang w:val="en-US" w:eastAsia="zh-CN" w:bidi="ar-SA"/>
    </w:rPr>
  </w:style>
  <w:style w:type="paragraph" w:customStyle="1" w:styleId="41">
    <w:name w:val="修订9"/>
    <w:autoRedefine/>
    <w:hidden/>
    <w:unhideWhenUsed/>
    <w:qFormat/>
    <w:uiPriority w:val="99"/>
    <w:rPr>
      <w:rFonts w:ascii="Times New Roman" w:hAnsi="Times New Roman" w:eastAsia="仿宋"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12</Pages>
  <Words>5402</Words>
  <Characters>5575</Characters>
  <Lines>41</Lines>
  <Paragraphs>11</Paragraphs>
  <TotalTime>17</TotalTime>
  <ScaleCrop>false</ScaleCrop>
  <LinksUpToDate>false</LinksUpToDate>
  <CharactersWithSpaces>5633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2024-04-22T01:44:00Z</dcterms:created>
  <dc:creator>艾 德生</dc:creator>
  <cp:lastModifiedBy>北北</cp:lastModifiedBy>
  <cp:lastPrinted>2024-04-08T10:04:00Z</cp:lastPrinted>
  <dcterms:modified xsi:type="dcterms:W3CDTF">2024-05-22T02:57:40Z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35965C012FFB4ED49262C5FA28C9B39E_13</vt:lpwstr>
  </property>
</Properties>
</file>